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24"/>
        </w:rPr>
      </w:pPr>
      <w:r>
        <w:rPr>
          <w:rFonts w:hint="eastAsia" w:ascii="宋体"/>
          <w:b/>
          <w:sz w:val="24"/>
        </w:rPr>
        <w:t>计算机软件购置技术标书审批</w:t>
      </w:r>
      <w:r>
        <w:rPr>
          <w:rFonts w:hint="eastAsia" w:ascii="宋体" w:hAnsi="宋体"/>
          <w:b/>
          <w:sz w:val="24"/>
        </w:rPr>
        <w:t>表</w:t>
      </w:r>
    </w:p>
    <w:p>
      <w:pPr>
        <w:spacing w:line="360" w:lineRule="auto"/>
        <w:ind w:right="150"/>
        <w:jc w:val="right"/>
        <w:rPr>
          <w:rFonts w:ascii="宋体" w:hAnsi="宋体"/>
          <w:color w:val="000000"/>
          <w:sz w:val="24"/>
        </w:rPr>
      </w:pPr>
      <w:r>
        <w:rPr>
          <w:rFonts w:hint="eastAsia" w:ascii="宋体" w:hAnsi="宋体"/>
          <w:color w:val="000000"/>
          <w:sz w:val="24"/>
        </w:rPr>
        <w:t>2017年2月8日</w:t>
      </w:r>
    </w:p>
    <w:tbl>
      <w:tblPr>
        <w:tblStyle w:val="10"/>
        <w:tblW w:w="8272" w:type="dxa"/>
        <w:jc w:val="center"/>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34"/>
        <w:gridCol w:w="992"/>
        <w:gridCol w:w="2813"/>
        <w:gridCol w:w="1792"/>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55" w:hRule="atLeast"/>
          <w:jc w:val="center"/>
        </w:trPr>
        <w:tc>
          <w:tcPr>
            <w:tcW w:w="1826" w:type="dxa"/>
            <w:gridSpan w:val="2"/>
            <w:vAlign w:val="center"/>
          </w:tcPr>
          <w:p>
            <w:pPr>
              <w:jc w:val="center"/>
              <w:rPr>
                <w:rFonts w:ascii="宋体" w:hAnsi="宋体"/>
                <w:szCs w:val="21"/>
              </w:rPr>
            </w:pPr>
            <w:r>
              <w:rPr>
                <w:rFonts w:hint="eastAsia" w:ascii="宋体" w:hAnsi="宋体"/>
                <w:szCs w:val="21"/>
              </w:rPr>
              <w:t>设备名称</w:t>
            </w:r>
          </w:p>
        </w:tc>
        <w:tc>
          <w:tcPr>
            <w:tcW w:w="2813" w:type="dxa"/>
            <w:vAlign w:val="center"/>
          </w:tcPr>
          <w:p>
            <w:pPr>
              <w:jc w:val="center"/>
              <w:rPr>
                <w:rFonts w:ascii="宋体" w:hAnsi="宋体"/>
                <w:szCs w:val="21"/>
              </w:rPr>
            </w:pPr>
            <w:r>
              <w:rPr>
                <w:rFonts w:hint="eastAsia" w:ascii="宋体"/>
                <w:bCs/>
                <w:szCs w:val="21"/>
              </w:rPr>
              <w:t>BI（Business Intelligence）商务智能工具软件</w:t>
            </w:r>
          </w:p>
        </w:tc>
        <w:tc>
          <w:tcPr>
            <w:tcW w:w="1792" w:type="dxa"/>
            <w:vAlign w:val="center"/>
          </w:tcPr>
          <w:p>
            <w:pPr>
              <w:ind w:right="480"/>
              <w:jc w:val="center"/>
              <w:rPr>
                <w:rFonts w:ascii="宋体" w:hAnsi="宋体"/>
                <w:szCs w:val="21"/>
              </w:rPr>
            </w:pPr>
            <w:r>
              <w:rPr>
                <w:rFonts w:hint="eastAsia" w:ascii="宋体" w:hAnsi="宋体"/>
                <w:szCs w:val="21"/>
              </w:rPr>
              <w:t>购置数量</w:t>
            </w:r>
          </w:p>
        </w:tc>
        <w:tc>
          <w:tcPr>
            <w:tcW w:w="1841" w:type="dxa"/>
            <w:vAlign w:val="center"/>
          </w:tcPr>
          <w:p>
            <w:pPr>
              <w:ind w:firstLine="315"/>
              <w:jc w:val="center"/>
              <w:rPr>
                <w:rFonts w:ascii="宋体" w:hAnsi="宋体"/>
                <w:szCs w:val="21"/>
              </w:rPr>
            </w:pPr>
            <w:r>
              <w:rPr>
                <w:rFonts w:hint="eastAsia" w:ascii="宋体" w:hAnsi="宋体"/>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53" w:hRule="atLeast"/>
          <w:jc w:val="center"/>
        </w:trPr>
        <w:tc>
          <w:tcPr>
            <w:tcW w:w="1826" w:type="dxa"/>
            <w:gridSpan w:val="2"/>
            <w:vAlign w:val="center"/>
          </w:tcPr>
          <w:p>
            <w:pPr>
              <w:jc w:val="center"/>
              <w:rPr>
                <w:rFonts w:ascii="宋体" w:hAnsi="宋体"/>
                <w:szCs w:val="21"/>
              </w:rPr>
            </w:pPr>
            <w:r>
              <w:rPr>
                <w:rFonts w:hint="eastAsia" w:ascii="宋体" w:hAnsi="宋体"/>
                <w:szCs w:val="21"/>
              </w:rPr>
              <w:t>计划来源</w:t>
            </w:r>
          </w:p>
        </w:tc>
        <w:tc>
          <w:tcPr>
            <w:tcW w:w="6446"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53" w:hRule="atLeast"/>
          <w:jc w:val="center"/>
        </w:trPr>
        <w:tc>
          <w:tcPr>
            <w:tcW w:w="1826" w:type="dxa"/>
            <w:gridSpan w:val="2"/>
            <w:vAlign w:val="center"/>
          </w:tcPr>
          <w:p>
            <w:pPr>
              <w:jc w:val="center"/>
              <w:rPr>
                <w:rFonts w:ascii="宋体" w:hAnsi="宋体"/>
                <w:szCs w:val="21"/>
              </w:rPr>
            </w:pPr>
            <w:r>
              <w:rPr>
                <w:rFonts w:hint="eastAsia" w:ascii="宋体" w:hAnsi="宋体"/>
                <w:szCs w:val="21"/>
              </w:rPr>
              <w:t>描述</w:t>
            </w:r>
          </w:p>
        </w:tc>
        <w:tc>
          <w:tcPr>
            <w:tcW w:w="6446" w:type="dxa"/>
            <w:gridSpan w:val="3"/>
            <w:vAlign w:val="center"/>
          </w:tcPr>
          <w:p>
            <w:pPr>
              <w:spacing w:line="276" w:lineRule="auto"/>
              <w:ind w:firstLine="420"/>
              <w:jc w:val="left"/>
              <w:rPr>
                <w:rFonts w:ascii="宋体" w:hAnsi="宋体"/>
                <w:szCs w:val="21"/>
              </w:rPr>
            </w:pPr>
            <w:r>
              <w:rPr>
                <w:rFonts w:hint="eastAsia" w:ascii="宋体" w:hAnsi="宋体"/>
                <w:szCs w:val="21"/>
              </w:rPr>
              <w:t>BI是大数据分析工具，可以理解为报表工具，大数据的专业分析工具。能够快速灵活地支撑用户的前端数据分析，从千万级到百亿级，带来的数据分析体验涵盖了数据采集与整合，数据存储据分析和数据可视化，乃至数据挖掘和深度分析的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756" w:hRule="atLeast"/>
          <w:jc w:val="center"/>
        </w:trPr>
        <w:tc>
          <w:tcPr>
            <w:tcW w:w="1826" w:type="dxa"/>
            <w:gridSpan w:val="2"/>
            <w:vAlign w:val="center"/>
          </w:tcPr>
          <w:p>
            <w:pPr>
              <w:jc w:val="center"/>
              <w:rPr>
                <w:rFonts w:ascii="宋体" w:hAnsi="宋体"/>
                <w:szCs w:val="21"/>
              </w:rPr>
            </w:pPr>
            <w:r>
              <w:rPr>
                <w:rFonts w:hint="eastAsia" w:ascii="宋体" w:hAnsi="宋体"/>
                <w:szCs w:val="21"/>
              </w:rPr>
              <w:t>主要技术参数</w:t>
            </w:r>
          </w:p>
        </w:tc>
        <w:tc>
          <w:tcPr>
            <w:tcW w:w="6446" w:type="dxa"/>
            <w:gridSpan w:val="3"/>
            <w:vAlign w:val="center"/>
          </w:tcPr>
          <w:p>
            <w:pPr>
              <w:widowControl/>
              <w:adjustRightInd w:val="0"/>
              <w:spacing w:line="360" w:lineRule="auto"/>
              <w:rPr>
                <w:rFonts w:ascii="宋体" w:hAnsi="宋体"/>
                <w:szCs w:val="21"/>
              </w:rPr>
            </w:pPr>
            <w:r>
              <w:rPr>
                <w:rFonts w:hint="eastAsia" w:ascii="宋体" w:hAnsi="宋体"/>
                <w:szCs w:val="21"/>
              </w:rPr>
              <w:t>1、支持丰富的数据源接口（关系型数据库、实时数据库、NOSQL数据）。</w:t>
            </w:r>
          </w:p>
          <w:p>
            <w:pPr>
              <w:widowControl/>
              <w:adjustRightInd w:val="0"/>
              <w:spacing w:line="360" w:lineRule="auto"/>
              <w:rPr>
                <w:rFonts w:ascii="宋体" w:hAnsi="宋体"/>
                <w:szCs w:val="21"/>
              </w:rPr>
            </w:pPr>
            <w:r>
              <w:rPr>
                <w:rFonts w:hint="eastAsia" w:ascii="宋体" w:hAnsi="宋体"/>
                <w:szCs w:val="21"/>
              </w:rPr>
              <w:t>2、支持SPA螺旋分析。</w:t>
            </w:r>
          </w:p>
          <w:p>
            <w:pPr>
              <w:widowControl/>
              <w:adjustRightInd w:val="0"/>
              <w:spacing w:line="360" w:lineRule="auto"/>
              <w:rPr>
                <w:rFonts w:ascii="宋体" w:hAnsi="宋体"/>
                <w:szCs w:val="21"/>
              </w:rPr>
            </w:pPr>
            <w:r>
              <w:rPr>
                <w:rFonts w:hint="eastAsia" w:ascii="宋体" w:hAnsi="宋体"/>
                <w:szCs w:val="21"/>
              </w:rPr>
              <w:t>3、支持丰富的图表展示功能。</w:t>
            </w:r>
          </w:p>
          <w:p>
            <w:pPr>
              <w:widowControl/>
              <w:adjustRightInd w:val="0"/>
              <w:spacing w:line="360" w:lineRule="auto"/>
              <w:rPr>
                <w:rFonts w:ascii="宋体" w:hAnsi="宋体"/>
                <w:szCs w:val="21"/>
              </w:rPr>
            </w:pPr>
            <w:r>
              <w:rPr>
                <w:rFonts w:hint="eastAsia" w:ascii="宋体" w:hAnsi="宋体"/>
                <w:szCs w:val="21"/>
              </w:rPr>
              <w:t>4、支持PC端和移动端浏览。</w:t>
            </w:r>
          </w:p>
          <w:p>
            <w:pPr>
              <w:widowControl/>
              <w:adjustRightInd w:val="0"/>
              <w:spacing w:line="360" w:lineRule="auto"/>
              <w:rPr>
                <w:rFonts w:ascii="宋体" w:hAnsi="宋体"/>
                <w:szCs w:val="21"/>
              </w:rPr>
            </w:pPr>
            <w:r>
              <w:rPr>
                <w:rFonts w:hint="eastAsia" w:ascii="宋体" w:hAnsi="宋体"/>
                <w:szCs w:val="21"/>
              </w:rPr>
              <w:t>5、支持从直连大数据平台中提取10亿甚至百亿级的数据进行实时大数据计算与分析。</w:t>
            </w:r>
          </w:p>
          <w:p>
            <w:pPr>
              <w:widowControl/>
              <w:adjustRightInd w:val="0"/>
              <w:spacing w:line="360" w:lineRule="auto"/>
              <w:rPr>
                <w:rFonts w:ascii="宋体" w:hAnsi="宋体"/>
                <w:szCs w:val="21"/>
              </w:rPr>
            </w:pPr>
            <w:r>
              <w:rPr>
                <w:rFonts w:hint="eastAsia" w:ascii="宋体" w:hAnsi="宋体"/>
                <w:szCs w:val="21"/>
              </w:rPr>
              <w:t>6、</w:t>
            </w:r>
            <w:r>
              <w:rPr>
                <w:rFonts w:ascii="宋体" w:hAnsi="宋体"/>
                <w:szCs w:val="21"/>
              </w:rPr>
              <w:t>系统充分考虑软、硬件平台</w:t>
            </w:r>
            <w:r>
              <w:rPr>
                <w:rFonts w:hint="eastAsia" w:ascii="宋体" w:hAnsi="宋体"/>
                <w:szCs w:val="21"/>
              </w:rPr>
              <w:t>兼容性和</w:t>
            </w:r>
            <w:r>
              <w:rPr>
                <w:rFonts w:ascii="宋体" w:hAnsi="宋体"/>
                <w:szCs w:val="21"/>
              </w:rPr>
              <w:t>业务层的开放性，采用国际通用的技术标准。</w:t>
            </w:r>
          </w:p>
          <w:p>
            <w:pPr>
              <w:widowControl/>
              <w:adjustRightInd w:val="0"/>
              <w:spacing w:line="360" w:lineRule="auto"/>
              <w:rPr>
                <w:rFonts w:ascii="宋体" w:hAnsi="宋体"/>
                <w:szCs w:val="21"/>
                <w:u w:val="single"/>
              </w:rPr>
            </w:pPr>
            <w:r>
              <w:rPr>
                <w:rFonts w:hint="eastAsia" w:ascii="宋体" w:hAnsi="宋体"/>
                <w:szCs w:val="21"/>
              </w:rPr>
              <w:t>7、售后及质保：</w:t>
            </w:r>
            <w:r>
              <w:rPr>
                <w:rFonts w:hint="eastAsia" w:ascii="宋体" w:hAnsi="宋体"/>
                <w:szCs w:val="21"/>
                <w:u w:val="single"/>
              </w:rPr>
              <w:t>提供1年内该版本的免费补丁和升级服务；提供三年内7×8小时远程技术支持。</w:t>
            </w:r>
          </w:p>
          <w:p>
            <w:pPr>
              <w:widowControl/>
              <w:adjustRightInd w:val="0"/>
              <w:spacing w:line="360" w:lineRule="auto"/>
              <w:rPr>
                <w:rFonts w:ascii="宋体" w:hAnsi="宋体"/>
                <w:szCs w:val="21"/>
                <w:u w:val="single"/>
              </w:rPr>
            </w:pPr>
            <w:r>
              <w:rPr>
                <w:rFonts w:hint="eastAsia" w:ascii="宋体" w:hAnsi="宋体"/>
                <w:szCs w:val="21"/>
              </w:rPr>
              <w:t>8、培训：</w:t>
            </w:r>
            <w:r>
              <w:rPr>
                <w:rFonts w:hint="eastAsia" w:ascii="宋体" w:hAnsi="宋体"/>
                <w:szCs w:val="21"/>
                <w:u w:val="single"/>
              </w:rPr>
              <w:t>提供不低于30天的免费操作培训，并保证培训质量；</w:t>
            </w:r>
          </w:p>
          <w:p>
            <w:pPr>
              <w:widowControl/>
              <w:adjustRightInd w:val="0"/>
              <w:spacing w:line="360" w:lineRule="auto"/>
              <w:rPr>
                <w:rFonts w:ascii="宋体" w:hAnsi="宋体"/>
                <w:szCs w:val="21"/>
              </w:rPr>
            </w:pPr>
            <w:r>
              <w:rPr>
                <w:rFonts w:hint="eastAsia" w:ascii="宋体" w:hAnsi="宋体"/>
                <w:szCs w:val="21"/>
              </w:rPr>
              <w:t>9、安装调试：</w:t>
            </w:r>
            <w:r>
              <w:rPr>
                <w:rFonts w:hint="eastAsia" w:ascii="宋体" w:hAnsi="宋体"/>
                <w:szCs w:val="21"/>
                <w:u w:val="single"/>
              </w:rPr>
              <w:t>提供该软件的安装和调试和硬件环境的安装部署。</w:t>
            </w:r>
          </w:p>
          <w:p>
            <w:pPr>
              <w:widowControl/>
              <w:adjustRightInd w:val="0"/>
              <w:spacing w:line="360" w:lineRule="auto"/>
              <w:rPr>
                <w:rFonts w:ascii="宋体" w:hAnsi="宋体"/>
                <w:szCs w:val="21"/>
              </w:rPr>
            </w:pPr>
            <w:r>
              <w:rPr>
                <w:rFonts w:hint="eastAsia" w:ascii="宋体" w:hAnsi="宋体"/>
                <w:szCs w:val="21"/>
              </w:rPr>
              <w:t>10、必须说明系统软件的所购买的功能模块、授权方式和许可数，并约定有限期。</w:t>
            </w:r>
          </w:p>
          <w:p>
            <w:pPr>
              <w:widowControl/>
              <w:adjustRightInd w:val="0"/>
              <w:spacing w:line="360" w:lineRule="auto"/>
              <w:rPr>
                <w:rFonts w:ascii="宋体" w:hAnsi="宋体"/>
                <w:szCs w:val="21"/>
              </w:rPr>
            </w:pPr>
            <w:r>
              <w:rPr>
                <w:rFonts w:hint="eastAsia" w:ascii="宋体" w:hAnsi="宋体"/>
                <w:szCs w:val="21"/>
              </w:rPr>
              <w:t>11、如软件授权许可绑定硬件，需要迁移更换宿主机时，原厂免费提供软件的授权许可。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06" w:hRule="atLeast"/>
          <w:jc w:val="center"/>
        </w:trPr>
        <w:tc>
          <w:tcPr>
            <w:tcW w:w="1826" w:type="dxa"/>
            <w:gridSpan w:val="2"/>
            <w:vAlign w:val="center"/>
          </w:tcPr>
          <w:p>
            <w:pPr>
              <w:jc w:val="center"/>
              <w:rPr>
                <w:rFonts w:ascii="宋体" w:hAnsi="宋体"/>
                <w:szCs w:val="21"/>
              </w:rPr>
            </w:pPr>
            <w:r>
              <w:rPr>
                <w:rFonts w:hint="eastAsia" w:ascii="宋体" w:hAnsi="宋体"/>
                <w:szCs w:val="21"/>
              </w:rPr>
              <w:t>项目提报单位</w:t>
            </w:r>
          </w:p>
        </w:tc>
        <w:tc>
          <w:tcPr>
            <w:tcW w:w="6446" w:type="dxa"/>
            <w:gridSpan w:val="3"/>
            <w:vAlign w:val="center"/>
          </w:tcPr>
          <w:p>
            <w:pPr>
              <w:jc w:val="center"/>
              <w:rPr>
                <w:rFonts w:ascii="宋体" w:hAnsi="宋体"/>
                <w:szCs w:val="21"/>
              </w:rPr>
            </w:pPr>
            <w:r>
              <w:rPr>
                <w:rFonts w:ascii="宋体"/>
                <w:szCs w:val="21"/>
              </w:rPr>
              <w:t>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44" w:hRule="atLeast"/>
          <w:jc w:val="center"/>
        </w:trPr>
        <w:tc>
          <w:tcPr>
            <w:tcW w:w="834" w:type="dxa"/>
            <w:vMerge w:val="restart"/>
            <w:shd w:val="clear" w:color="auto" w:fill="auto"/>
            <w:vAlign w:val="center"/>
          </w:tcPr>
          <w:p>
            <w:pPr>
              <w:jc w:val="center"/>
              <w:rPr>
                <w:rFonts w:ascii="宋体" w:hAnsi="宋体"/>
                <w:szCs w:val="21"/>
              </w:rPr>
            </w:pPr>
            <w:r>
              <w:rPr>
                <w:rFonts w:hint="eastAsia" w:ascii="宋体" w:hAnsi="宋体"/>
                <w:szCs w:val="21"/>
              </w:rPr>
              <w:t>信息管理中心</w:t>
            </w:r>
          </w:p>
        </w:tc>
        <w:tc>
          <w:tcPr>
            <w:tcW w:w="992" w:type="dxa"/>
            <w:shd w:val="clear" w:color="auto" w:fill="auto"/>
            <w:vAlign w:val="center"/>
          </w:tcPr>
          <w:p>
            <w:pPr>
              <w:jc w:val="center"/>
              <w:rPr>
                <w:rFonts w:ascii="宋体" w:hAnsi="宋体"/>
                <w:szCs w:val="21"/>
              </w:rPr>
            </w:pPr>
            <w:r>
              <w:rPr>
                <w:rFonts w:hint="eastAsia" w:ascii="宋体" w:hAnsi="宋体"/>
                <w:szCs w:val="21"/>
              </w:rPr>
              <w:t>技术办</w:t>
            </w:r>
          </w:p>
        </w:tc>
        <w:tc>
          <w:tcPr>
            <w:tcW w:w="6446" w:type="dxa"/>
            <w:gridSpan w:val="3"/>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56" w:hRule="atLeast"/>
          <w:jc w:val="center"/>
        </w:trPr>
        <w:tc>
          <w:tcPr>
            <w:tcW w:w="834" w:type="dxa"/>
            <w:vMerge w:val="continue"/>
            <w:shd w:val="clear" w:color="auto" w:fill="auto"/>
            <w:vAlign w:val="center"/>
          </w:tcPr>
          <w:p>
            <w:pPr>
              <w:rPr>
                <w:rFonts w:ascii="宋体" w:hAnsi="宋体"/>
                <w:szCs w:val="21"/>
              </w:rPr>
            </w:pPr>
          </w:p>
        </w:tc>
        <w:tc>
          <w:tcPr>
            <w:tcW w:w="992" w:type="dxa"/>
            <w:shd w:val="clear" w:color="auto" w:fill="auto"/>
            <w:vAlign w:val="center"/>
          </w:tcPr>
          <w:p>
            <w:pPr>
              <w:jc w:val="center"/>
              <w:rPr>
                <w:rFonts w:ascii="宋体" w:hAnsi="宋体"/>
                <w:szCs w:val="21"/>
              </w:rPr>
            </w:pPr>
            <w:r>
              <w:rPr>
                <w:rFonts w:hint="eastAsia" w:ascii="宋体" w:hAnsi="宋体"/>
                <w:szCs w:val="21"/>
              </w:rPr>
              <w:t>分管领导</w:t>
            </w:r>
          </w:p>
        </w:tc>
        <w:tc>
          <w:tcPr>
            <w:tcW w:w="6446" w:type="dxa"/>
            <w:gridSpan w:val="3"/>
            <w:vAlign w:val="center"/>
          </w:tcPr>
          <w:p>
            <w:pPr>
              <w:rPr>
                <w:rFonts w:ascii="宋体" w:hAnsi="宋体"/>
                <w:szCs w:val="21"/>
              </w:rPr>
            </w:pPr>
          </w:p>
        </w:tc>
      </w:tr>
    </w:tbl>
    <w:p>
      <w:pPr>
        <w:spacing w:line="360" w:lineRule="auto"/>
        <w:rPr>
          <w:rFonts w:ascii="宋体" w:hAnsi="宋体"/>
          <w:b/>
          <w:sz w:val="24"/>
        </w:rPr>
      </w:pPr>
    </w:p>
    <w:p>
      <w:pPr>
        <w:spacing w:line="360" w:lineRule="auto"/>
        <w:jc w:val="center"/>
        <w:rPr>
          <w:rFonts w:ascii="宋体" w:hAnsi="宋体"/>
          <w:b/>
          <w:sz w:val="24"/>
        </w:rPr>
      </w:pPr>
      <w:r>
        <w:rPr>
          <w:rFonts w:hint="eastAsia" w:ascii="宋体" w:hAnsi="宋体"/>
          <w:b/>
          <w:sz w:val="24"/>
        </w:rPr>
        <w:t>第一节  应用系统</w:t>
      </w:r>
    </w:p>
    <w:p>
      <w:pPr>
        <w:spacing w:line="360" w:lineRule="auto"/>
        <w:jc w:val="center"/>
        <w:rPr>
          <w:rFonts w:ascii="宋体" w:hAnsi="宋体"/>
          <w:b/>
          <w:sz w:val="24"/>
        </w:rPr>
      </w:pPr>
      <w:r>
        <w:rPr>
          <w:rFonts w:hint="eastAsia" w:ascii="宋体" w:hAnsi="宋体"/>
          <w:b/>
          <w:sz w:val="24"/>
        </w:rPr>
        <w:t>(1)货物需求一览表</w:t>
      </w:r>
    </w:p>
    <w:tbl>
      <w:tblPr>
        <w:tblStyle w:val="10"/>
        <w:tblW w:w="9056" w:type="dxa"/>
        <w:jc w:val="center"/>
        <w:tblInd w:w="0" w:type="dxa"/>
        <w:tblLayout w:type="fixed"/>
        <w:tblCellMar>
          <w:top w:w="0" w:type="dxa"/>
          <w:left w:w="28" w:type="dxa"/>
          <w:bottom w:w="0" w:type="dxa"/>
          <w:right w:w="28" w:type="dxa"/>
        </w:tblCellMar>
      </w:tblPr>
      <w:tblGrid>
        <w:gridCol w:w="604"/>
        <w:gridCol w:w="1472"/>
        <w:gridCol w:w="2977"/>
        <w:gridCol w:w="567"/>
        <w:gridCol w:w="709"/>
        <w:gridCol w:w="1107"/>
        <w:gridCol w:w="1620"/>
      </w:tblGrid>
      <w:tr>
        <w:tblPrEx>
          <w:tblLayout w:type="fixed"/>
          <w:tblCellMar>
            <w:top w:w="0" w:type="dxa"/>
            <w:left w:w="28" w:type="dxa"/>
            <w:bottom w:w="0" w:type="dxa"/>
            <w:right w:w="28" w:type="dxa"/>
          </w:tblCellMar>
        </w:tblPrEx>
        <w:trPr>
          <w:trHeight w:val="397" w:hRule="atLeast"/>
          <w:jc w:val="center"/>
        </w:trPr>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47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名称</w:t>
            </w:r>
          </w:p>
        </w:tc>
        <w:tc>
          <w:tcPr>
            <w:tcW w:w="297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规格型号</w:t>
            </w:r>
          </w:p>
        </w:tc>
        <w:tc>
          <w:tcPr>
            <w:tcW w:w="56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单位</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数量</w:t>
            </w:r>
          </w:p>
        </w:tc>
        <w:tc>
          <w:tcPr>
            <w:tcW w:w="110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交货时间</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使用单位</w:t>
            </w:r>
          </w:p>
        </w:tc>
      </w:tr>
      <w:tr>
        <w:tblPrEx>
          <w:tblLayout w:type="fixed"/>
          <w:tblCellMar>
            <w:top w:w="0" w:type="dxa"/>
            <w:left w:w="28" w:type="dxa"/>
            <w:bottom w:w="0" w:type="dxa"/>
            <w:right w:w="28" w:type="dxa"/>
          </w:tblCellMar>
        </w:tblPrEx>
        <w:trPr>
          <w:trHeight w:val="397" w:hRule="atLeast"/>
          <w:jc w:val="center"/>
        </w:trPr>
        <w:tc>
          <w:tcPr>
            <w:tcW w:w="604" w:type="dxa"/>
            <w:tcBorders>
              <w:top w:val="nil"/>
              <w:left w:val="single" w:color="auto" w:sz="4" w:space="0"/>
              <w:bottom w:val="single" w:color="auto" w:sz="4" w:space="0"/>
              <w:right w:val="single" w:color="auto" w:sz="4" w:space="0"/>
            </w:tcBorders>
            <w:vAlign w:val="center"/>
          </w:tcPr>
          <w:p>
            <w:pPr>
              <w:pStyle w:val="12"/>
              <w:widowControl/>
              <w:adjustRightInd w:val="0"/>
              <w:ind w:firstLine="0" w:firstLineChars="0"/>
              <w:jc w:val="center"/>
              <w:rPr>
                <w:rFonts w:ascii="宋体" w:hAnsi="宋体"/>
                <w:color w:val="000000"/>
                <w:szCs w:val="21"/>
              </w:rPr>
            </w:pPr>
            <w:r>
              <w:rPr>
                <w:rFonts w:hint="eastAsia" w:ascii="宋体" w:hAnsi="宋体"/>
                <w:color w:val="000000"/>
                <w:szCs w:val="21"/>
              </w:rPr>
              <w:t>1</w:t>
            </w:r>
          </w:p>
        </w:tc>
        <w:tc>
          <w:tcPr>
            <w:tcW w:w="147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应用系统</w:t>
            </w:r>
          </w:p>
        </w:tc>
        <w:tc>
          <w:tcPr>
            <w:tcW w:w="297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szCs w:val="21"/>
              </w:rPr>
            </w:pPr>
            <w:r>
              <w:rPr>
                <w:rFonts w:hint="eastAsia" w:ascii="宋体"/>
                <w:szCs w:val="21"/>
              </w:rPr>
              <w:t>BI软件系统</w:t>
            </w:r>
          </w:p>
        </w:tc>
        <w:tc>
          <w:tcPr>
            <w:tcW w:w="56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107"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r>
              <w:rPr>
                <w:rFonts w:hint="eastAsia" w:ascii="宋体" w:hAnsi="宋体"/>
                <w:color w:val="000000"/>
                <w:szCs w:val="21"/>
              </w:rPr>
              <w:t>神东信息管理中心</w:t>
            </w:r>
          </w:p>
        </w:tc>
      </w:tr>
      <w:tr>
        <w:tblPrEx>
          <w:tblLayout w:type="fixed"/>
          <w:tblCellMar>
            <w:top w:w="0" w:type="dxa"/>
            <w:left w:w="28" w:type="dxa"/>
            <w:bottom w:w="0" w:type="dxa"/>
            <w:right w:w="28" w:type="dxa"/>
          </w:tblCellMar>
        </w:tblPrEx>
        <w:trPr>
          <w:trHeight w:val="397" w:hRule="atLeast"/>
          <w:jc w:val="center"/>
        </w:trPr>
        <w:tc>
          <w:tcPr>
            <w:tcW w:w="604" w:type="dxa"/>
            <w:tcBorders>
              <w:top w:val="single" w:color="auto" w:sz="4" w:space="0"/>
              <w:left w:val="single" w:color="auto" w:sz="4" w:space="0"/>
              <w:bottom w:val="single" w:color="auto" w:sz="4" w:space="0"/>
              <w:right w:val="single" w:color="auto" w:sz="4" w:space="0"/>
            </w:tcBorders>
            <w:vAlign w:val="center"/>
          </w:tcPr>
          <w:p>
            <w:pPr>
              <w:pStyle w:val="12"/>
              <w:widowControl/>
              <w:adjustRightInd w:val="0"/>
              <w:ind w:firstLine="0" w:firstLineChars="0"/>
              <w:jc w:val="center"/>
              <w:rPr>
                <w:rFonts w:ascii="宋体" w:hAnsi="宋体"/>
                <w:color w:val="000000"/>
                <w:szCs w:val="21"/>
              </w:rPr>
            </w:pPr>
            <w:r>
              <w:rPr>
                <w:rFonts w:hint="eastAsia" w:ascii="宋体" w:hAnsi="宋体"/>
                <w:color w:val="000000"/>
                <w:szCs w:val="21"/>
              </w:rPr>
              <w:t>2</w:t>
            </w:r>
          </w:p>
        </w:tc>
        <w:tc>
          <w:tcPr>
            <w:tcW w:w="147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随机软件</w:t>
            </w:r>
          </w:p>
        </w:tc>
        <w:tc>
          <w:tcPr>
            <w:tcW w:w="2977"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67"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107" w:type="dxa"/>
            <w:tcBorders>
              <w:top w:val="single" w:color="auto" w:sz="4" w:space="0"/>
              <w:left w:val="nil"/>
              <w:bottom w:val="single" w:color="auto" w:sz="4" w:space="0"/>
              <w:right w:val="single" w:color="auto" w:sz="4" w:space="0"/>
            </w:tcBorders>
            <w:vAlign w:val="center"/>
          </w:tcPr>
          <w:p>
            <w:pPr>
              <w:widowControl/>
              <w:adjustRightInd w:val="0"/>
              <w:ind w:firstLine="210"/>
              <w:rPr>
                <w:rFonts w:ascii="宋体" w:hAnsi="宋体"/>
                <w:color w:val="000000"/>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adjustRightInd w:val="0"/>
              <w:ind w:firstLine="210"/>
              <w:rPr>
                <w:rFonts w:ascii="宋体" w:hAnsi="宋体"/>
                <w:color w:val="000000"/>
                <w:szCs w:val="21"/>
              </w:rPr>
            </w:pPr>
          </w:p>
        </w:tc>
      </w:tr>
      <w:tr>
        <w:tblPrEx>
          <w:tblLayout w:type="fixed"/>
          <w:tblCellMar>
            <w:top w:w="0" w:type="dxa"/>
            <w:left w:w="28" w:type="dxa"/>
            <w:bottom w:w="0" w:type="dxa"/>
            <w:right w:w="28" w:type="dxa"/>
          </w:tblCellMar>
        </w:tblPrEx>
        <w:trPr>
          <w:trHeight w:val="397" w:hRule="atLeast"/>
          <w:jc w:val="center"/>
        </w:trPr>
        <w:tc>
          <w:tcPr>
            <w:tcW w:w="604" w:type="dxa"/>
            <w:tcBorders>
              <w:top w:val="nil"/>
              <w:left w:val="single" w:color="auto" w:sz="4" w:space="0"/>
              <w:bottom w:val="single" w:color="auto" w:sz="4" w:space="0"/>
              <w:right w:val="single" w:color="auto" w:sz="4" w:space="0"/>
            </w:tcBorders>
            <w:vAlign w:val="center"/>
          </w:tcPr>
          <w:p>
            <w:pPr>
              <w:pStyle w:val="12"/>
              <w:widowControl/>
              <w:adjustRightInd w:val="0"/>
              <w:ind w:firstLine="0" w:firstLineChars="0"/>
              <w:jc w:val="center"/>
              <w:rPr>
                <w:rFonts w:ascii="宋体" w:hAnsi="宋体"/>
                <w:color w:val="000000"/>
                <w:szCs w:val="21"/>
              </w:rPr>
            </w:pPr>
            <w:r>
              <w:rPr>
                <w:rFonts w:hint="eastAsia" w:ascii="宋体" w:hAnsi="宋体"/>
                <w:color w:val="000000"/>
                <w:szCs w:val="21"/>
              </w:rPr>
              <w:t>3</w:t>
            </w:r>
          </w:p>
        </w:tc>
        <w:tc>
          <w:tcPr>
            <w:tcW w:w="147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w:t>
            </w:r>
          </w:p>
        </w:tc>
        <w:tc>
          <w:tcPr>
            <w:tcW w:w="2977" w:type="dxa"/>
            <w:tcBorders>
              <w:top w:val="nil"/>
              <w:left w:val="nil"/>
              <w:bottom w:val="single" w:color="auto" w:sz="4" w:space="0"/>
              <w:right w:val="single" w:color="auto" w:sz="4" w:space="0"/>
            </w:tcBorders>
            <w:vAlign w:val="center"/>
          </w:tcPr>
          <w:p>
            <w:pPr>
              <w:spacing w:before="120" w:line="360" w:lineRule="auto"/>
              <w:rPr>
                <w:rFonts w:ascii="宋体"/>
                <w:sz w:val="24"/>
              </w:rPr>
            </w:pPr>
            <w:r>
              <w:rPr>
                <w:rFonts w:hint="eastAsia" w:ascii="宋体"/>
                <w:sz w:val="24"/>
              </w:rPr>
              <w:t>《系统操作手册》</w:t>
            </w:r>
          </w:p>
          <w:p>
            <w:pPr>
              <w:spacing w:before="120" w:line="360" w:lineRule="auto"/>
              <w:rPr>
                <w:rFonts w:ascii="宋体"/>
                <w:sz w:val="24"/>
              </w:rPr>
            </w:pPr>
            <w:r>
              <w:rPr>
                <w:rFonts w:hint="eastAsia" w:ascii="宋体"/>
                <w:sz w:val="24"/>
              </w:rPr>
              <w:t>《系统模板手册》</w:t>
            </w:r>
          </w:p>
          <w:p>
            <w:pPr>
              <w:spacing w:before="120" w:line="360" w:lineRule="auto"/>
              <w:rPr>
                <w:rFonts w:ascii="宋体"/>
                <w:sz w:val="24"/>
              </w:rPr>
            </w:pPr>
            <w:r>
              <w:rPr>
                <w:rFonts w:hint="eastAsia" w:ascii="宋体"/>
                <w:sz w:val="24"/>
              </w:rPr>
              <w:t>《系统部署手册》</w:t>
            </w:r>
          </w:p>
          <w:p>
            <w:pPr>
              <w:spacing w:before="120" w:line="360" w:lineRule="auto"/>
              <w:rPr>
                <w:rFonts w:ascii="宋体"/>
                <w:sz w:val="24"/>
              </w:rPr>
            </w:pPr>
            <w:r>
              <w:rPr>
                <w:rFonts w:hint="eastAsia" w:ascii="宋体"/>
                <w:sz w:val="24"/>
              </w:rPr>
              <w:t>《系统数据库设计文档》</w:t>
            </w:r>
          </w:p>
          <w:p>
            <w:pPr>
              <w:spacing w:before="120" w:line="360" w:lineRule="auto"/>
              <w:rPr>
                <w:rFonts w:ascii="宋体"/>
                <w:sz w:val="24"/>
              </w:rPr>
            </w:pPr>
            <w:r>
              <w:rPr>
                <w:rFonts w:hint="eastAsia" w:ascii="宋体"/>
                <w:sz w:val="24"/>
              </w:rPr>
              <w:t>《系统二次开发手册》</w:t>
            </w:r>
          </w:p>
          <w:p>
            <w:pPr>
              <w:spacing w:before="120" w:line="360" w:lineRule="auto"/>
              <w:rPr>
                <w:rFonts w:ascii="宋体"/>
                <w:sz w:val="24"/>
              </w:rPr>
            </w:pPr>
            <w:r>
              <w:rPr>
                <w:rFonts w:hint="eastAsia" w:ascii="宋体"/>
                <w:sz w:val="24"/>
              </w:rPr>
              <w:t>《系统维护手册》</w:t>
            </w:r>
          </w:p>
          <w:p>
            <w:pPr>
              <w:spacing w:before="120" w:line="360" w:lineRule="auto"/>
              <w:rPr>
                <w:rFonts w:ascii="宋体"/>
                <w:sz w:val="24"/>
              </w:rPr>
            </w:pPr>
            <w:r>
              <w:rPr>
                <w:rFonts w:hint="eastAsia" w:ascii="宋体"/>
                <w:sz w:val="24"/>
              </w:rPr>
              <w:t>《系统web采集操作手册》</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r>
              <w:rPr>
                <w:rFonts w:hint="eastAsia" w:ascii="宋体"/>
                <w:sz w:val="24"/>
              </w:rPr>
              <w:t>《系统接口文档》</w:t>
            </w:r>
          </w:p>
        </w:tc>
        <w:tc>
          <w:tcPr>
            <w:tcW w:w="56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107" w:type="dxa"/>
            <w:tcBorders>
              <w:top w:val="nil"/>
              <w:left w:val="nil"/>
              <w:bottom w:val="single" w:color="auto" w:sz="4" w:space="0"/>
              <w:right w:val="single" w:color="auto" w:sz="4" w:space="0"/>
            </w:tcBorders>
            <w:vAlign w:val="center"/>
          </w:tcPr>
          <w:p>
            <w:pPr>
              <w:widowControl/>
              <w:adjustRightInd w:val="0"/>
              <w:ind w:firstLine="210"/>
              <w:rPr>
                <w:rFonts w:ascii="宋体" w:hAnsi="宋体"/>
                <w:color w:val="000000"/>
                <w:szCs w:val="21"/>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ind w:firstLine="210"/>
              <w:rPr>
                <w:rFonts w:ascii="宋体" w:hAnsi="宋体"/>
                <w:color w:val="000000"/>
                <w:szCs w:val="21"/>
              </w:rPr>
            </w:pPr>
          </w:p>
        </w:tc>
      </w:tr>
      <w:tr>
        <w:tblPrEx>
          <w:tblLayout w:type="fixed"/>
          <w:tblCellMar>
            <w:top w:w="0" w:type="dxa"/>
            <w:left w:w="28" w:type="dxa"/>
            <w:bottom w:w="0" w:type="dxa"/>
            <w:right w:w="28" w:type="dxa"/>
          </w:tblCellMar>
        </w:tblPrEx>
        <w:trPr>
          <w:trHeight w:val="397" w:hRule="atLeast"/>
          <w:jc w:val="center"/>
        </w:trPr>
        <w:tc>
          <w:tcPr>
            <w:tcW w:w="604" w:type="dxa"/>
            <w:tcBorders>
              <w:top w:val="nil"/>
              <w:left w:val="single" w:color="auto" w:sz="4" w:space="0"/>
              <w:bottom w:val="single" w:color="auto" w:sz="4" w:space="0"/>
              <w:right w:val="single" w:color="auto" w:sz="4" w:space="0"/>
            </w:tcBorders>
            <w:vAlign w:val="center"/>
          </w:tcPr>
          <w:p>
            <w:pPr>
              <w:pStyle w:val="12"/>
              <w:widowControl/>
              <w:adjustRightInd w:val="0"/>
              <w:ind w:firstLine="0" w:firstLineChars="0"/>
              <w:jc w:val="center"/>
              <w:rPr>
                <w:rFonts w:ascii="宋体" w:hAnsi="宋体"/>
                <w:color w:val="000000"/>
                <w:szCs w:val="21"/>
              </w:rPr>
            </w:pPr>
            <w:r>
              <w:rPr>
                <w:rFonts w:hint="eastAsia" w:ascii="宋体" w:hAnsi="宋体"/>
                <w:color w:val="000000"/>
                <w:szCs w:val="21"/>
              </w:rPr>
              <w:t>4</w:t>
            </w:r>
          </w:p>
        </w:tc>
        <w:tc>
          <w:tcPr>
            <w:tcW w:w="147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专用工具</w:t>
            </w:r>
          </w:p>
        </w:tc>
        <w:tc>
          <w:tcPr>
            <w:tcW w:w="297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6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07" w:type="dxa"/>
            <w:tcBorders>
              <w:top w:val="nil"/>
              <w:left w:val="nil"/>
              <w:bottom w:val="single" w:color="auto" w:sz="4" w:space="0"/>
              <w:right w:val="single" w:color="auto" w:sz="4" w:space="0"/>
            </w:tcBorders>
            <w:vAlign w:val="center"/>
          </w:tcPr>
          <w:p>
            <w:pPr>
              <w:widowControl/>
              <w:adjustRightInd w:val="0"/>
              <w:ind w:firstLine="210"/>
              <w:rPr>
                <w:rFonts w:ascii="宋体" w:hAnsi="宋体"/>
                <w:color w:val="000000"/>
                <w:szCs w:val="21"/>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ind w:firstLine="210"/>
              <w:rPr>
                <w:rFonts w:ascii="宋体" w:hAnsi="宋体"/>
                <w:color w:val="000000"/>
                <w:szCs w:val="21"/>
              </w:rPr>
            </w:pPr>
          </w:p>
        </w:tc>
      </w:tr>
      <w:tr>
        <w:tblPrEx>
          <w:tblLayout w:type="fixed"/>
          <w:tblCellMar>
            <w:top w:w="0" w:type="dxa"/>
            <w:left w:w="28" w:type="dxa"/>
            <w:bottom w:w="0" w:type="dxa"/>
            <w:right w:w="28" w:type="dxa"/>
          </w:tblCellMar>
        </w:tblPrEx>
        <w:trPr>
          <w:trHeight w:val="397" w:hRule="atLeast"/>
          <w:jc w:val="center"/>
        </w:trPr>
        <w:tc>
          <w:tcPr>
            <w:tcW w:w="604" w:type="dxa"/>
            <w:tcBorders>
              <w:top w:val="nil"/>
              <w:left w:val="single" w:color="auto" w:sz="4" w:space="0"/>
              <w:bottom w:val="single" w:color="auto" w:sz="4" w:space="0"/>
              <w:right w:val="single" w:color="auto" w:sz="4" w:space="0"/>
            </w:tcBorders>
            <w:vAlign w:val="center"/>
          </w:tcPr>
          <w:p>
            <w:pPr>
              <w:pStyle w:val="12"/>
              <w:widowControl/>
              <w:adjustRightInd w:val="0"/>
              <w:ind w:firstLine="0" w:firstLineChars="0"/>
              <w:jc w:val="center"/>
              <w:rPr>
                <w:rFonts w:ascii="宋体" w:hAnsi="宋体"/>
                <w:color w:val="000000"/>
                <w:szCs w:val="21"/>
              </w:rPr>
            </w:pPr>
            <w:r>
              <w:rPr>
                <w:rFonts w:hint="eastAsia" w:ascii="宋体" w:hAnsi="宋体"/>
                <w:color w:val="000000"/>
                <w:szCs w:val="21"/>
              </w:rPr>
              <w:t>5</w:t>
            </w:r>
          </w:p>
        </w:tc>
        <w:tc>
          <w:tcPr>
            <w:tcW w:w="147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315"/>
              <w:jc w:val="center"/>
              <w:rPr>
                <w:rFonts w:ascii="宋体" w:hAnsi="宋体"/>
                <w:szCs w:val="21"/>
              </w:rPr>
            </w:pPr>
            <w:r>
              <w:rPr>
                <w:rFonts w:hint="eastAsia" w:ascii="宋体" w:hAnsi="宋体"/>
                <w:szCs w:val="21"/>
              </w:rPr>
              <w:t>附属设备</w:t>
            </w:r>
          </w:p>
        </w:tc>
        <w:tc>
          <w:tcPr>
            <w:tcW w:w="297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6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07" w:type="dxa"/>
            <w:tcBorders>
              <w:top w:val="nil"/>
              <w:left w:val="nil"/>
              <w:bottom w:val="single" w:color="auto" w:sz="4" w:space="0"/>
              <w:right w:val="single" w:color="auto" w:sz="4" w:space="0"/>
            </w:tcBorders>
            <w:vAlign w:val="center"/>
          </w:tcPr>
          <w:p>
            <w:pPr>
              <w:widowControl/>
              <w:adjustRightInd w:val="0"/>
              <w:ind w:firstLine="210"/>
              <w:rPr>
                <w:rFonts w:ascii="宋体" w:hAnsi="宋体"/>
                <w:color w:val="000000"/>
                <w:szCs w:val="21"/>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ind w:firstLine="210"/>
              <w:rPr>
                <w:rFonts w:ascii="宋体" w:hAnsi="宋体"/>
                <w:color w:val="000000"/>
                <w:szCs w:val="21"/>
              </w:rPr>
            </w:pPr>
          </w:p>
        </w:tc>
      </w:tr>
    </w:tbl>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r>
        <w:rPr>
          <w:rFonts w:hint="eastAsia" w:ascii="宋体" w:hAnsi="宋体"/>
          <w:b/>
          <w:sz w:val="24"/>
        </w:rPr>
        <w:t>第二节 工作环境</w:t>
      </w:r>
    </w:p>
    <w:p>
      <w:pPr>
        <w:spacing w:line="360" w:lineRule="auto"/>
        <w:ind w:firstLine="480" w:firstLineChars="200"/>
        <w:outlineLvl w:val="0"/>
        <w:rPr>
          <w:rFonts w:ascii="宋体" w:hAnsi="宋体"/>
          <w:sz w:val="24"/>
        </w:rPr>
      </w:pPr>
      <w:r>
        <w:rPr>
          <w:rFonts w:hint="eastAsia" w:ascii="宋体" w:hAnsi="宋体"/>
          <w:sz w:val="24"/>
        </w:rPr>
        <w:t>1、 设备工作环境：</w:t>
      </w:r>
    </w:p>
    <w:p>
      <w:pPr>
        <w:adjustRightInd w:val="0"/>
        <w:snapToGrid w:val="0"/>
        <w:spacing w:line="360" w:lineRule="auto"/>
        <w:ind w:firstLine="480" w:firstLineChars="200"/>
        <w:rPr>
          <w:rFonts w:ascii="宋体" w:hAnsi="宋体"/>
          <w:sz w:val="24"/>
        </w:rPr>
      </w:pPr>
      <w:r>
        <w:rPr>
          <w:rFonts w:hint="eastAsia" w:ascii="宋体" w:hAnsi="宋体"/>
          <w:sz w:val="24"/>
        </w:rPr>
        <w:t>1.1、使用环境：</w:t>
      </w:r>
      <w:r>
        <w:rPr>
          <w:rFonts w:hint="eastAsia" w:ascii="宋体" w:hAnsi="宋体"/>
          <w:sz w:val="24"/>
          <w:u w:val="single"/>
        </w:rPr>
        <w:t xml:space="preserve">   企业局域网络办公环境   </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1.2、安装地点及用途：</w:t>
      </w:r>
      <w:r>
        <w:rPr>
          <w:rFonts w:hint="eastAsia" w:ascii="宋体" w:hAnsi="宋体"/>
          <w:sz w:val="24"/>
          <w:u w:val="single"/>
        </w:rPr>
        <w:t xml:space="preserve">   神东煤炭信息管理中心机房   </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2.设计和制造标准</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计算机软件产品规范:     SJ/T 标准/ISO标准/GB国标</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SJ/T 11235-2001         软件能力成熟度模型（CMM）</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ISO/IEC 12207-1995      信息技术 软件生存周期过程</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 8567-88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计算机软件产品实施文件编制指南</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 9385-88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计算机软件需求说明编制指南</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 9386-88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计算机软件测试文件编制规范</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11457-1995 </w:t>
      </w:r>
      <w:r>
        <w:rPr>
          <w:rFonts w:hint="eastAsia" w:hAnsi="宋体"/>
          <w:szCs w:val="24"/>
        </w:rPr>
        <w:tab/>
      </w:r>
      <w:r>
        <w:rPr>
          <w:rFonts w:hint="eastAsia" w:hAnsi="宋体"/>
          <w:szCs w:val="24"/>
        </w:rPr>
        <w:t xml:space="preserve">       软件工程术语</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12504-90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计算机软件质量标准保证计划规范</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12505-90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计算机软件配置管理计划规范</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14079-93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计算机软件维护指南</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14394-93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计算机软件可靠性和可维护性管理</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15532-95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计算机软件单元测试</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GB/T 16260-1996（ISO/IEC 9126.1991） 信息技术 软件产品质量特性及其使用指南</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17544-1998 </w:t>
      </w:r>
      <w:r>
        <w:rPr>
          <w:rFonts w:hint="eastAsia" w:hAnsi="宋体"/>
          <w:szCs w:val="24"/>
        </w:rPr>
        <w:tab/>
      </w:r>
      <w:r>
        <w:rPr>
          <w:rFonts w:hint="eastAsia" w:hAnsi="宋体"/>
          <w:szCs w:val="24"/>
        </w:rPr>
        <w:t xml:space="preserve">       信息技术软件包质量要求和测试</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 xml:space="preserve">GB/T 18905.1-2002 </w:t>
      </w:r>
      <w:r>
        <w:rPr>
          <w:rFonts w:hint="eastAsia" w:hAnsi="宋体"/>
          <w:szCs w:val="24"/>
        </w:rPr>
        <w:tab/>
      </w:r>
      <w:r>
        <w:rPr>
          <w:rFonts w:hint="eastAsia" w:hAnsi="宋体"/>
          <w:szCs w:val="24"/>
        </w:rPr>
        <w:t xml:space="preserve">    软件工程产品评价 </w:t>
      </w:r>
    </w:p>
    <w:p>
      <w:pPr>
        <w:pStyle w:val="13"/>
        <w:tabs>
          <w:tab w:val="left" w:pos="550"/>
        </w:tabs>
        <w:adjustRightInd w:val="0"/>
        <w:snapToGrid w:val="0"/>
        <w:spacing w:before="0" w:after="0" w:line="360" w:lineRule="auto"/>
        <w:ind w:firstLine="480" w:firstLineChars="200"/>
        <w:rPr>
          <w:rFonts w:hAnsi="宋体"/>
          <w:szCs w:val="24"/>
        </w:rPr>
      </w:pPr>
      <w:r>
        <w:rPr>
          <w:rFonts w:hint="eastAsia" w:hAnsi="宋体"/>
          <w:szCs w:val="24"/>
        </w:rPr>
        <w:t>GB/T 18905.6-2002      软件工程产品评价若货物原产国的国家标准或目前使用的企业标准高于上述标准，同样适用。</w:t>
      </w:r>
    </w:p>
    <w:p>
      <w:pPr>
        <w:adjustRightInd w:val="0"/>
        <w:snapToGrid w:val="0"/>
        <w:spacing w:line="360" w:lineRule="auto"/>
        <w:jc w:val="center"/>
        <w:rPr>
          <w:rFonts w:ascii="宋体" w:hAnsi="宋体"/>
          <w:b/>
          <w:sz w:val="24"/>
        </w:rPr>
      </w:pPr>
      <w:r>
        <w:rPr>
          <w:rFonts w:hint="eastAsia" w:ascii="宋体" w:hAnsi="宋体"/>
          <w:b/>
          <w:sz w:val="24"/>
        </w:rPr>
        <w:t>第三节 技术要求</w:t>
      </w:r>
    </w:p>
    <w:p>
      <w:pPr>
        <w:adjustRightInd w:val="0"/>
        <w:snapToGrid w:val="0"/>
        <w:spacing w:line="360" w:lineRule="auto"/>
        <w:ind w:firstLine="480" w:firstLineChars="200"/>
        <w:rPr>
          <w:rFonts w:ascii="宋体" w:hAnsi="宋体"/>
          <w:sz w:val="24"/>
        </w:rPr>
      </w:pPr>
      <w:r>
        <w:rPr>
          <w:rFonts w:hint="eastAsia" w:ascii="宋体" w:hAnsi="宋体"/>
          <w:sz w:val="24"/>
        </w:rPr>
        <w:t>1、技术参数及要求</w:t>
      </w:r>
    </w:p>
    <w:p>
      <w:pPr>
        <w:adjustRightInd w:val="0"/>
        <w:snapToGrid w:val="0"/>
        <w:spacing w:line="360" w:lineRule="auto"/>
        <w:ind w:firstLine="480" w:firstLineChars="200"/>
        <w:rPr>
          <w:rFonts w:ascii="宋体" w:hAnsi="宋体"/>
          <w:sz w:val="24"/>
        </w:rPr>
      </w:pPr>
      <w:r>
        <w:rPr>
          <w:rFonts w:hint="eastAsia" w:ascii="宋体" w:hAnsi="宋体"/>
          <w:sz w:val="24"/>
        </w:rPr>
        <w:t>*1.1购买数量：</w:t>
      </w:r>
      <w:r>
        <w:rPr>
          <w:rFonts w:hint="eastAsia" w:ascii="宋体" w:hAnsi="宋体"/>
          <w:sz w:val="24"/>
          <w:u w:val="single"/>
        </w:rPr>
        <w:t xml:space="preserve">   1套     </w:t>
      </w:r>
      <w:r>
        <w:rPr>
          <w:rFonts w:hint="eastAsia" w:ascii="宋体" w:hAnsi="宋体"/>
          <w:sz w:val="24"/>
        </w:rPr>
        <w:t>。</w:t>
      </w:r>
    </w:p>
    <w:p>
      <w:pPr>
        <w:adjustRightInd w:val="0"/>
        <w:snapToGrid w:val="0"/>
        <w:spacing w:line="360" w:lineRule="auto"/>
        <w:ind w:firstLine="460" w:firstLineChars="200"/>
        <w:rPr>
          <w:rFonts w:ascii="宋体" w:hAnsi="宋体"/>
          <w:sz w:val="24"/>
        </w:rPr>
      </w:pPr>
      <w:r>
        <w:rPr>
          <w:rFonts w:hint="eastAsia" w:ascii="宋体" w:hAnsi="宋体"/>
          <w:spacing w:val="-5"/>
          <w:kern w:val="0"/>
          <w:sz w:val="24"/>
        </w:rPr>
        <w:t>*1.2适应</w:t>
      </w:r>
      <w:r>
        <w:rPr>
          <w:rFonts w:ascii="宋体" w:hAnsi="宋体"/>
          <w:spacing w:val="-5"/>
          <w:kern w:val="0"/>
          <w:sz w:val="24"/>
        </w:rPr>
        <w:t>的</w:t>
      </w:r>
      <w:r>
        <w:rPr>
          <w:rFonts w:hint="eastAsia" w:ascii="宋体" w:hAnsi="宋体"/>
          <w:spacing w:val="-5"/>
          <w:kern w:val="0"/>
          <w:sz w:val="24"/>
        </w:rPr>
        <w:t>硬件环境</w:t>
      </w:r>
      <w:r>
        <w:rPr>
          <w:rFonts w:hint="eastAsia" w:ascii="宋体" w:hAnsi="宋体"/>
          <w:sz w:val="24"/>
        </w:rPr>
        <w:t>：</w:t>
      </w:r>
      <w:r>
        <w:rPr>
          <w:rFonts w:ascii="宋体" w:hAnsi="宋体"/>
          <w:sz w:val="24"/>
          <w:u w:val="single"/>
        </w:rPr>
        <w:t>普通服务器或服务器集群，</w:t>
      </w:r>
      <w:r>
        <w:rPr>
          <w:rFonts w:hint="eastAsia" w:ascii="宋体" w:hAnsi="宋体"/>
          <w:sz w:val="24"/>
          <w:u w:val="single"/>
        </w:rPr>
        <w:t>虚拟机</w:t>
      </w:r>
      <w:r>
        <w:rPr>
          <w:rFonts w:hint="eastAsia" w:ascii="宋体" w:hAnsi="宋体"/>
          <w:sz w:val="24"/>
        </w:rPr>
        <w:t xml:space="preserve">。  </w:t>
      </w:r>
    </w:p>
    <w:p>
      <w:pPr>
        <w:adjustRightInd w:val="0"/>
        <w:snapToGrid w:val="0"/>
        <w:spacing w:line="360" w:lineRule="auto"/>
        <w:ind w:firstLine="460" w:firstLineChars="200"/>
        <w:rPr>
          <w:rFonts w:ascii="宋体" w:hAnsi="宋体"/>
          <w:sz w:val="24"/>
        </w:rPr>
      </w:pPr>
      <w:r>
        <w:rPr>
          <w:rFonts w:hint="eastAsia" w:ascii="宋体" w:hAnsi="宋体"/>
          <w:spacing w:val="-5"/>
          <w:kern w:val="0"/>
          <w:sz w:val="24"/>
        </w:rPr>
        <w:t>*1.3适应的软件环境</w:t>
      </w:r>
      <w:r>
        <w:rPr>
          <w:rFonts w:hint="eastAsia" w:ascii="宋体" w:hAnsi="宋体"/>
          <w:sz w:val="24"/>
        </w:rPr>
        <w:t>：</w:t>
      </w:r>
      <w:r>
        <w:rPr>
          <w:rFonts w:hint="eastAsia" w:ascii="宋体" w:hAnsi="宋体"/>
          <w:sz w:val="24"/>
          <w:u w:val="single"/>
        </w:rPr>
        <w:t>Windows、Linux、Unix、Solaris 、Aix、IRIX</w:t>
      </w:r>
      <w:r>
        <w:rPr>
          <w:rFonts w:ascii="宋体" w:hAnsi="宋体"/>
          <w:sz w:val="24"/>
          <w:u w:val="single"/>
        </w:rPr>
        <w:t>。</w:t>
      </w:r>
    </w:p>
    <w:p>
      <w:pPr>
        <w:adjustRightInd w:val="0"/>
        <w:snapToGrid w:val="0"/>
        <w:spacing w:line="360" w:lineRule="auto"/>
        <w:ind w:firstLine="460" w:firstLineChars="200"/>
        <w:rPr>
          <w:rFonts w:ascii="宋体" w:hAnsi="宋体"/>
          <w:sz w:val="24"/>
        </w:rPr>
      </w:pPr>
      <w:r>
        <w:rPr>
          <w:rFonts w:hint="eastAsia" w:ascii="宋体" w:hAnsi="宋体"/>
          <w:spacing w:val="-5"/>
          <w:kern w:val="0"/>
          <w:sz w:val="24"/>
        </w:rPr>
        <w:t>*</w:t>
      </w:r>
      <w:r>
        <w:rPr>
          <w:rFonts w:hint="eastAsia" w:ascii="宋体" w:hAnsi="宋体"/>
          <w:sz w:val="24"/>
        </w:rPr>
        <w:t>1.4适应的应用服务器：</w:t>
      </w:r>
      <w:r>
        <w:rPr>
          <w:rFonts w:ascii="宋体" w:hAnsi="宋体"/>
          <w:sz w:val="24"/>
        </w:rPr>
        <w:t>Tomcat</w:t>
      </w:r>
      <w:r>
        <w:rPr>
          <w:rFonts w:hint="eastAsia" w:ascii="宋体" w:hAnsi="宋体"/>
          <w:sz w:val="24"/>
        </w:rPr>
        <w:t>、</w:t>
      </w:r>
      <w:r>
        <w:rPr>
          <w:rFonts w:ascii="宋体" w:hAnsi="宋体"/>
          <w:sz w:val="24"/>
        </w:rPr>
        <w:t>Jboss</w:t>
      </w:r>
      <w:r>
        <w:rPr>
          <w:rFonts w:hint="eastAsia" w:ascii="宋体" w:hAnsi="宋体"/>
          <w:sz w:val="24"/>
        </w:rPr>
        <w:t>、</w:t>
      </w:r>
      <w:r>
        <w:rPr>
          <w:rFonts w:ascii="宋体" w:hAnsi="宋体"/>
          <w:sz w:val="24"/>
        </w:rPr>
        <w:t>Weblogic</w:t>
      </w:r>
      <w:r>
        <w:rPr>
          <w:rFonts w:hint="eastAsia" w:ascii="宋体" w:hAnsi="宋体"/>
          <w:sz w:val="24"/>
        </w:rPr>
        <w:t>、</w:t>
      </w:r>
      <w:r>
        <w:rPr>
          <w:rFonts w:ascii="宋体" w:hAnsi="宋体"/>
          <w:sz w:val="24"/>
        </w:rPr>
        <w:t>Websphere</w:t>
      </w:r>
      <w:r>
        <w:rPr>
          <w:rFonts w:hint="eastAsia" w:ascii="宋体" w:hAnsi="宋体"/>
          <w:sz w:val="24"/>
        </w:rPr>
        <w:t>、</w:t>
      </w:r>
      <w:r>
        <w:rPr>
          <w:rFonts w:ascii="宋体" w:hAnsi="宋体"/>
          <w:sz w:val="24"/>
        </w:rPr>
        <w:t>Tongweb</w:t>
      </w:r>
      <w:r>
        <w:rPr>
          <w:rFonts w:hint="eastAsia" w:ascii="宋体" w:hAnsi="宋体"/>
          <w:sz w:val="24"/>
        </w:rPr>
        <w:t>、</w:t>
      </w:r>
      <w:r>
        <w:rPr>
          <w:rFonts w:ascii="宋体" w:hAnsi="宋体"/>
          <w:sz w:val="24"/>
        </w:rPr>
        <w:t>resin</w:t>
      </w:r>
      <w:r>
        <w:rPr>
          <w:rFonts w:hint="eastAsia" w:ascii="宋体" w:hAnsi="宋体"/>
          <w:sz w:val="24"/>
        </w:rPr>
        <w:t>等</w:t>
      </w:r>
      <w:r>
        <w:rPr>
          <w:rFonts w:ascii="宋体" w:hAnsi="宋体"/>
          <w:sz w:val="24"/>
        </w:rPr>
        <w:t>Web</w:t>
      </w:r>
      <w:r>
        <w:rPr>
          <w:rFonts w:hint="eastAsia" w:ascii="宋体" w:hAnsi="宋体"/>
          <w:sz w:val="24"/>
        </w:rPr>
        <w:t>应用服务器；</w:t>
      </w:r>
    </w:p>
    <w:p>
      <w:pPr>
        <w:adjustRightInd w:val="0"/>
        <w:snapToGrid w:val="0"/>
        <w:spacing w:line="360" w:lineRule="auto"/>
        <w:ind w:firstLine="460" w:firstLineChars="200"/>
        <w:rPr>
          <w:rFonts w:ascii="宋体" w:hAnsi="宋体"/>
          <w:sz w:val="24"/>
        </w:rPr>
      </w:pPr>
      <w:r>
        <w:rPr>
          <w:rFonts w:hint="eastAsia" w:ascii="宋体" w:hAnsi="宋体"/>
          <w:spacing w:val="-5"/>
          <w:kern w:val="0"/>
          <w:sz w:val="24"/>
        </w:rPr>
        <w:t>*</w:t>
      </w:r>
      <w:r>
        <w:rPr>
          <w:rFonts w:ascii="宋体" w:hAnsi="宋体"/>
          <w:sz w:val="24"/>
        </w:rPr>
        <w:t>1.5适应的</w:t>
      </w:r>
      <w:r>
        <w:rPr>
          <w:rFonts w:hint="eastAsia" w:ascii="宋体" w:hAnsi="宋体"/>
          <w:sz w:val="24"/>
        </w:rPr>
        <w:t>浏览器：</w:t>
      </w:r>
      <w:r>
        <w:rPr>
          <w:rFonts w:ascii="宋体" w:hAnsi="宋体"/>
          <w:sz w:val="24"/>
        </w:rPr>
        <w:t>IE</w:t>
      </w:r>
      <w:r>
        <w:rPr>
          <w:rFonts w:hint="eastAsia" w:ascii="宋体" w:hAnsi="宋体"/>
          <w:sz w:val="24"/>
        </w:rPr>
        <w:t>（</w:t>
      </w:r>
      <w:r>
        <w:rPr>
          <w:rFonts w:ascii="宋体" w:hAnsi="宋体"/>
          <w:sz w:val="24"/>
        </w:rPr>
        <w:t>IE7</w:t>
      </w:r>
      <w:r>
        <w:rPr>
          <w:rFonts w:hint="eastAsia" w:ascii="宋体" w:hAnsi="宋体"/>
          <w:sz w:val="24"/>
        </w:rPr>
        <w:t>及以上版本）、</w:t>
      </w:r>
      <w:r>
        <w:rPr>
          <w:rFonts w:ascii="宋体" w:hAnsi="宋体"/>
          <w:sz w:val="24"/>
        </w:rPr>
        <w:t>FireFox</w:t>
      </w:r>
      <w:r>
        <w:rPr>
          <w:rFonts w:hint="eastAsia" w:ascii="宋体" w:hAnsi="宋体"/>
          <w:sz w:val="24"/>
        </w:rPr>
        <w:t>、</w:t>
      </w:r>
      <w:r>
        <w:rPr>
          <w:rFonts w:ascii="宋体" w:hAnsi="宋体"/>
          <w:sz w:val="24"/>
        </w:rPr>
        <w:t>Chrome</w:t>
      </w:r>
      <w:r>
        <w:rPr>
          <w:rFonts w:hint="eastAsia" w:ascii="宋体" w:hAnsi="宋体"/>
          <w:sz w:val="24"/>
        </w:rPr>
        <w:t>等主流浏览器。</w:t>
      </w:r>
    </w:p>
    <w:p>
      <w:pPr>
        <w:adjustRightInd w:val="0"/>
        <w:snapToGrid w:val="0"/>
        <w:spacing w:line="360" w:lineRule="auto"/>
        <w:ind w:firstLine="480" w:firstLineChars="200"/>
        <w:rPr>
          <w:rFonts w:ascii="宋体" w:hAnsi="宋体" w:cs="Arial"/>
          <w:sz w:val="24"/>
        </w:rPr>
      </w:pPr>
      <w:r>
        <w:rPr>
          <w:rFonts w:hint="eastAsia" w:ascii="宋体" w:hAnsi="宋体" w:cs="Arial"/>
          <w:sz w:val="24"/>
        </w:rPr>
        <w:t>*1.6许可数量</w:t>
      </w:r>
      <w:r>
        <w:rPr>
          <w:rFonts w:hint="eastAsia" w:ascii="宋体" w:hAnsi="宋体"/>
          <w:sz w:val="24"/>
        </w:rPr>
        <w:t>：</w:t>
      </w:r>
      <w:r>
        <w:rPr>
          <w:rFonts w:hint="eastAsia" w:ascii="宋体" w:hAnsi="宋体"/>
          <w:sz w:val="24"/>
          <w:u w:val="single"/>
        </w:rPr>
        <w:t xml:space="preserve">    1台服务器     </w:t>
      </w:r>
      <w:r>
        <w:rPr>
          <w:rFonts w:hint="eastAsia" w:ascii="宋体" w:hAnsi="宋体"/>
          <w:sz w:val="24"/>
        </w:rPr>
        <w:t xml:space="preserve">。  </w:t>
      </w:r>
    </w:p>
    <w:p>
      <w:pPr>
        <w:adjustRightInd w:val="0"/>
        <w:snapToGrid w:val="0"/>
        <w:spacing w:line="360" w:lineRule="auto"/>
        <w:ind w:firstLine="480" w:firstLineChars="200"/>
        <w:rPr>
          <w:rFonts w:ascii="宋体" w:hAnsi="宋体"/>
          <w:sz w:val="24"/>
        </w:rPr>
      </w:pPr>
      <w:r>
        <w:rPr>
          <w:rFonts w:hint="eastAsia" w:ascii="宋体" w:hAnsi="宋体" w:cs="Arial"/>
          <w:sz w:val="24"/>
        </w:rPr>
        <w:t>*1.7语言版本：</w:t>
      </w:r>
      <w:r>
        <w:rPr>
          <w:rFonts w:hint="eastAsia" w:ascii="宋体" w:hAnsi="宋体"/>
          <w:sz w:val="24"/>
          <w:u w:val="single"/>
        </w:rPr>
        <w:t xml:space="preserve">    中英文     </w:t>
      </w:r>
      <w:r>
        <w:rPr>
          <w:rFonts w:hint="eastAsia" w:ascii="宋体" w:hAnsi="宋体" w:cs="Arial"/>
          <w:sz w:val="24"/>
        </w:rPr>
        <w:t xml:space="preserve">。  </w:t>
      </w:r>
    </w:p>
    <w:p>
      <w:pPr>
        <w:spacing w:line="360" w:lineRule="auto"/>
        <w:ind w:firstLine="480" w:firstLineChars="200"/>
        <w:outlineLvl w:val="0"/>
        <w:rPr>
          <w:rFonts w:ascii="宋体" w:hAnsi="宋体"/>
          <w:sz w:val="24"/>
        </w:rPr>
      </w:pPr>
      <w:r>
        <w:rPr>
          <w:rFonts w:hint="eastAsia" w:ascii="宋体" w:hAnsi="宋体"/>
          <w:sz w:val="24"/>
        </w:rPr>
        <w:t>2．技术性能要求</w:t>
      </w:r>
    </w:p>
    <w:p>
      <w:pPr>
        <w:spacing w:line="360" w:lineRule="auto"/>
        <w:ind w:firstLine="480" w:firstLineChars="200"/>
        <w:outlineLvl w:val="0"/>
        <w:rPr>
          <w:rFonts w:ascii="宋体" w:hAnsi="宋体"/>
          <w:sz w:val="24"/>
        </w:rPr>
      </w:pPr>
      <w:r>
        <w:rPr>
          <w:rFonts w:hint="eastAsia" w:ascii="宋体" w:hAnsi="宋体"/>
          <w:sz w:val="24"/>
        </w:rPr>
        <w:t>2.1主要</w:t>
      </w:r>
      <w:r>
        <w:rPr>
          <w:rFonts w:ascii="宋体" w:hAnsi="宋体"/>
          <w:sz w:val="24"/>
        </w:rPr>
        <w:t>要求</w:t>
      </w:r>
    </w:p>
    <w:p>
      <w:pPr>
        <w:widowControl/>
        <w:adjustRightInd w:val="0"/>
        <w:spacing w:line="360" w:lineRule="auto"/>
        <w:ind w:firstLine="480" w:firstLineChars="200"/>
        <w:rPr>
          <w:rFonts w:ascii="宋体" w:hAnsi="宋体"/>
          <w:sz w:val="24"/>
        </w:rPr>
      </w:pPr>
      <w:r>
        <w:rPr>
          <w:rFonts w:hint="eastAsia" w:ascii="宋体" w:hAnsi="宋体"/>
          <w:sz w:val="24"/>
        </w:rPr>
        <w:t>*2.1.1 BI</w:t>
      </w:r>
      <w:r>
        <w:rPr>
          <w:rFonts w:ascii="宋体" w:hAnsi="宋体"/>
          <w:sz w:val="24"/>
        </w:rPr>
        <w:t>工具</w:t>
      </w:r>
      <w:r>
        <w:rPr>
          <w:rFonts w:hint="eastAsia" w:ascii="宋体" w:hAnsi="宋体"/>
          <w:sz w:val="24"/>
        </w:rPr>
        <w:t>软件产品</w:t>
      </w:r>
      <w:r>
        <w:rPr>
          <w:rFonts w:ascii="宋体" w:hAnsi="宋体"/>
          <w:sz w:val="24"/>
        </w:rPr>
        <w:t>应</w:t>
      </w:r>
      <w:r>
        <w:rPr>
          <w:rFonts w:hint="eastAsia" w:ascii="宋体" w:hAnsi="宋体"/>
          <w:sz w:val="24"/>
        </w:rPr>
        <w:t>支持丰富的数据源连接,从中抽取数据构建多维数据仓库：支持Oracle</w:t>
      </w:r>
      <w:r>
        <w:rPr>
          <w:rFonts w:ascii="宋体" w:hAnsi="宋体"/>
          <w:sz w:val="24"/>
        </w:rPr>
        <w:t>、</w:t>
      </w:r>
      <w:r>
        <w:rPr>
          <w:rFonts w:hint="eastAsia" w:ascii="宋体" w:hAnsi="宋体"/>
          <w:sz w:val="24"/>
        </w:rPr>
        <w:t>DB2</w:t>
      </w:r>
      <w:r>
        <w:rPr>
          <w:rFonts w:ascii="宋体" w:hAnsi="宋体"/>
          <w:sz w:val="24"/>
        </w:rPr>
        <w:t>、</w:t>
      </w:r>
      <w:r>
        <w:rPr>
          <w:rFonts w:hint="eastAsia" w:ascii="宋体" w:hAnsi="宋体"/>
          <w:sz w:val="24"/>
        </w:rPr>
        <w:t>SQL Server</w:t>
      </w:r>
      <w:r>
        <w:rPr>
          <w:rFonts w:ascii="宋体" w:hAnsi="宋体"/>
          <w:sz w:val="24"/>
        </w:rPr>
        <w:t>、</w:t>
      </w:r>
      <w:r>
        <w:rPr>
          <w:rFonts w:hint="eastAsia" w:ascii="宋体" w:hAnsi="宋体"/>
          <w:sz w:val="24"/>
        </w:rPr>
        <w:t>MySQL、Informix等主流的关系型数据库数据源。支持ODBC数据源，支持JNDI数据源，支持共享应用服务器数据源。</w:t>
      </w:r>
      <w:r>
        <w:rPr>
          <w:rFonts w:hint="eastAsia" w:ascii="宋体" w:hAnsi="宋体" w:cs="宋体"/>
          <w:sz w:val="24"/>
        </w:rPr>
        <w:t>支持流行的多维数据库如 Essbase</w:t>
      </w:r>
      <w:r>
        <w:rPr>
          <w:rFonts w:ascii="宋体" w:hAnsi="宋体" w:cs="宋体"/>
          <w:sz w:val="24"/>
        </w:rPr>
        <w:t>,SSAS</w:t>
      </w:r>
      <w:r>
        <w:rPr>
          <w:rFonts w:hint="eastAsia" w:ascii="宋体" w:hAnsi="宋体" w:cs="宋体"/>
          <w:sz w:val="24"/>
        </w:rPr>
        <w:t>等</w:t>
      </w:r>
      <w:r>
        <w:rPr>
          <w:rFonts w:ascii="宋体" w:hAnsi="宋体" w:cs="宋体"/>
          <w:sz w:val="24"/>
        </w:rPr>
        <w:t>,</w:t>
      </w:r>
      <w:r>
        <w:rPr>
          <w:rFonts w:hint="eastAsia" w:ascii="宋体" w:hAnsi="宋体" w:cs="宋体"/>
          <w:sz w:val="24"/>
        </w:rPr>
        <w:t>支持流行的大数据平台Hadoop Hive数据库，支持N</w:t>
      </w:r>
      <w:r>
        <w:rPr>
          <w:rFonts w:ascii="宋体" w:hAnsi="宋体" w:cs="宋体"/>
          <w:sz w:val="24"/>
        </w:rPr>
        <w:t>OSQL</w:t>
      </w:r>
      <w:r>
        <w:rPr>
          <w:rFonts w:hint="eastAsia" w:ascii="宋体" w:hAnsi="宋体" w:cs="宋体"/>
          <w:sz w:val="24"/>
        </w:rPr>
        <w:t>数据库如Mong</w:t>
      </w:r>
      <w:r>
        <w:rPr>
          <w:rFonts w:ascii="宋体" w:hAnsi="宋体" w:cs="宋体"/>
          <w:sz w:val="24"/>
        </w:rPr>
        <w:t>oDB</w:t>
      </w:r>
      <w:r>
        <w:rPr>
          <w:rFonts w:hint="eastAsia" w:ascii="宋体" w:hAnsi="宋体" w:cs="宋体"/>
          <w:sz w:val="24"/>
        </w:rPr>
        <w:t>等</w:t>
      </w:r>
      <w:r>
        <w:rPr>
          <w:rFonts w:ascii="宋体" w:hAnsi="宋体" w:cs="宋体"/>
          <w:sz w:val="24"/>
        </w:rPr>
        <w:t>,</w:t>
      </w:r>
      <w:r>
        <w:rPr>
          <w:rFonts w:hint="eastAsia" w:ascii="宋体" w:hAnsi="宋体" w:cs="宋体"/>
          <w:sz w:val="24"/>
        </w:rPr>
        <w:t>支持SAP HNAN、S</w:t>
      </w:r>
      <w:r>
        <w:rPr>
          <w:rFonts w:ascii="宋体" w:hAnsi="宋体" w:cs="宋体"/>
          <w:sz w:val="24"/>
        </w:rPr>
        <w:t>AP BO</w:t>
      </w:r>
      <w:r>
        <w:rPr>
          <w:rFonts w:hint="eastAsia" w:ascii="宋体" w:hAnsi="宋体" w:cs="宋体"/>
          <w:sz w:val="24"/>
        </w:rPr>
        <w:t>数据集，支持阿里云分析型数据库。</w:t>
      </w:r>
      <w:r>
        <w:rPr>
          <w:rFonts w:hint="eastAsia" w:ascii="宋体" w:hAnsi="宋体"/>
          <w:sz w:val="24"/>
        </w:rPr>
        <w:t>程序接口支持java API ,Hibernate数据源，支持WebService、 SOA等标准的数据。支持文本数据，支持将Excel，txt文件，XML文件等文件型的数据直接作为数据源；也支持内置数据集。</w:t>
      </w:r>
    </w:p>
    <w:p>
      <w:pPr>
        <w:widowControl/>
        <w:adjustRightInd w:val="0"/>
        <w:spacing w:line="360" w:lineRule="auto"/>
        <w:ind w:firstLine="480" w:firstLineChars="200"/>
        <w:rPr>
          <w:rFonts w:ascii="宋体" w:hAnsi="宋体"/>
          <w:sz w:val="24"/>
        </w:rPr>
      </w:pPr>
      <w:r>
        <w:rPr>
          <w:rFonts w:hint="eastAsia" w:ascii="宋体" w:hAnsi="宋体"/>
          <w:sz w:val="24"/>
        </w:rPr>
        <w:t>*2.1.2支持按业务包分主题管理数据，</w:t>
      </w:r>
      <w:r>
        <w:rPr>
          <w:sz w:val="24"/>
        </w:rPr>
        <w:t>支持</w:t>
      </w:r>
      <w:r>
        <w:rPr>
          <w:rFonts w:hint="eastAsia"/>
          <w:sz w:val="24"/>
        </w:rPr>
        <w:t>智能的表间字段关联，支持表名与字段名的智能转义。同时支持按业务包分配数据权限，权限粒度甚至可以细到每个业务包每一张表的每条数据记录。</w:t>
      </w:r>
    </w:p>
    <w:p>
      <w:pPr>
        <w:widowControl/>
        <w:adjustRightInd w:val="0"/>
        <w:spacing w:line="360" w:lineRule="auto"/>
        <w:ind w:firstLine="480" w:firstLineChars="200"/>
        <w:rPr>
          <w:rFonts w:ascii="宋体" w:hAnsi="宋体"/>
          <w:sz w:val="24"/>
        </w:rPr>
      </w:pPr>
      <w:r>
        <w:rPr>
          <w:rFonts w:hint="eastAsia" w:ascii="宋体" w:hAnsi="宋体"/>
          <w:sz w:val="24"/>
        </w:rPr>
        <w:t xml:space="preserve">*2.1.3支持ETL流功能，支持通过可视化操作对数据进行清洗加工、转化等处理，包括新增公式列（提供工丰富的函数）、JOIN或UNION转化、行列转换、使用部分字段、数据表过滤、分组统计、构建自循环列、新增分组列等 </w:t>
      </w:r>
    </w:p>
    <w:p>
      <w:pPr>
        <w:widowControl/>
        <w:adjustRightInd w:val="0"/>
        <w:spacing w:line="360" w:lineRule="auto"/>
        <w:ind w:firstLine="480" w:firstLineChars="200"/>
        <w:rPr>
          <w:rFonts w:ascii="宋体" w:hAnsi="宋体"/>
          <w:sz w:val="24"/>
        </w:rPr>
      </w:pPr>
      <w:r>
        <w:rPr>
          <w:rFonts w:hint="eastAsia" w:ascii="宋体" w:hAnsi="宋体"/>
          <w:sz w:val="24"/>
        </w:rPr>
        <w:t>*2.1.4</w:t>
      </w:r>
      <w:r>
        <w:rPr>
          <w:rFonts w:hint="eastAsia"/>
          <w:sz w:val="24"/>
          <w:shd w:val="clear" w:color="auto" w:fill="FFFFFF"/>
        </w:rPr>
        <w:t>支持基于SQL的数据库直连引擎，如可以直连</w:t>
      </w:r>
      <w:r>
        <w:rPr>
          <w:rFonts w:hint="eastAsia"/>
          <w:sz w:val="24"/>
        </w:rPr>
        <w:t>hadoop，kylin，greenplum，vertica等高性能大数据平台</w:t>
      </w:r>
      <w:r>
        <w:rPr>
          <w:rFonts w:hint="eastAsia"/>
          <w:sz w:val="24"/>
          <w:shd w:val="clear" w:color="auto" w:fill="FFFFFF"/>
        </w:rPr>
        <w:t>。支持从直连大数据平台中提取10亿甚至百亿级的数据进行实时大数据计算与分析。</w:t>
      </w:r>
    </w:p>
    <w:p>
      <w:pPr>
        <w:widowControl/>
        <w:adjustRightInd w:val="0"/>
        <w:spacing w:line="360" w:lineRule="auto"/>
        <w:ind w:firstLine="480" w:firstLineChars="200"/>
        <w:rPr>
          <w:rFonts w:ascii="宋体" w:hAnsi="宋体"/>
          <w:sz w:val="24"/>
        </w:rPr>
      </w:pPr>
      <w:r>
        <w:rPr>
          <w:rFonts w:hint="eastAsia" w:ascii="宋体" w:hAnsi="宋体"/>
          <w:sz w:val="24"/>
        </w:rPr>
        <w:t>*2.1.5支持基于索引的高效计算引擎</w:t>
      </w:r>
      <w:r>
        <w:rPr>
          <w:rFonts w:ascii="宋体" w:hAnsi="宋体"/>
          <w:sz w:val="24"/>
        </w:rPr>
        <w:t>，</w:t>
      </w:r>
      <w:r>
        <w:rPr>
          <w:rFonts w:hint="eastAsia" w:ascii="宋体" w:hAnsi="宋体"/>
          <w:sz w:val="24"/>
        </w:rPr>
        <w:t>采用</w:t>
      </w:r>
      <w:r>
        <w:rPr>
          <w:rFonts w:ascii="宋体" w:hAnsi="宋体"/>
          <w:sz w:val="24"/>
        </w:rPr>
        <w:t>智能位图索引、</w:t>
      </w:r>
      <w:r>
        <w:rPr>
          <w:rFonts w:hint="eastAsia" w:ascii="宋体" w:hAnsi="宋体"/>
          <w:sz w:val="24"/>
        </w:rPr>
        <w:t>并行计算</w:t>
      </w:r>
      <w:r>
        <w:rPr>
          <w:rFonts w:ascii="宋体" w:hAnsi="宋体"/>
          <w:sz w:val="24"/>
        </w:rPr>
        <w:t>、</w:t>
      </w:r>
      <w:r>
        <w:rPr>
          <w:rFonts w:hint="eastAsia" w:ascii="宋体" w:hAnsi="宋体"/>
          <w:sz w:val="24"/>
        </w:rPr>
        <w:t>多线程</w:t>
      </w:r>
      <w:r>
        <w:rPr>
          <w:rFonts w:ascii="宋体" w:hAnsi="宋体"/>
          <w:sz w:val="24"/>
        </w:rPr>
        <w:t>运算、</w:t>
      </w:r>
      <w:r>
        <w:rPr>
          <w:rFonts w:hint="eastAsia" w:ascii="宋体" w:hAnsi="宋体"/>
          <w:sz w:val="24"/>
        </w:rPr>
        <w:t>离线</w:t>
      </w:r>
      <w:r>
        <w:rPr>
          <w:rFonts w:ascii="宋体" w:hAnsi="宋体"/>
          <w:sz w:val="24"/>
        </w:rPr>
        <w:t>数据存储、</w:t>
      </w:r>
      <w:r>
        <w:rPr>
          <w:rFonts w:hint="eastAsia" w:ascii="宋体" w:hAnsi="宋体"/>
          <w:sz w:val="24"/>
        </w:rPr>
        <w:t>列</w:t>
      </w:r>
      <w:r>
        <w:rPr>
          <w:rFonts w:ascii="宋体" w:hAnsi="宋体"/>
          <w:sz w:val="24"/>
        </w:rPr>
        <w:t>存储、</w:t>
      </w:r>
      <w:r>
        <w:rPr>
          <w:rFonts w:hint="eastAsia" w:ascii="宋体" w:hAnsi="宋体"/>
          <w:sz w:val="24"/>
        </w:rPr>
        <w:t>智能</w:t>
      </w:r>
      <w:r>
        <w:rPr>
          <w:rFonts w:ascii="宋体" w:hAnsi="宋体"/>
          <w:sz w:val="24"/>
        </w:rPr>
        <w:t>缓存</w:t>
      </w:r>
      <w:r>
        <w:rPr>
          <w:rFonts w:hint="eastAsia" w:ascii="宋体" w:hAnsi="宋体"/>
          <w:sz w:val="24"/>
        </w:rPr>
        <w:t>等技术生成CUBE</w:t>
      </w:r>
      <w:r>
        <w:rPr>
          <w:rFonts w:ascii="宋体" w:hAnsi="宋体"/>
          <w:sz w:val="24"/>
        </w:rPr>
        <w:t>，</w:t>
      </w:r>
      <w:r>
        <w:rPr>
          <w:rFonts w:hint="eastAsia" w:ascii="宋体" w:hAnsi="宋体"/>
          <w:sz w:val="24"/>
        </w:rPr>
        <w:t>来支撑前端的快速分析，轻松实现亿级数据秒级呈现</w:t>
      </w:r>
      <w:r>
        <w:rPr>
          <w:rFonts w:ascii="宋体" w:hAnsi="宋体"/>
          <w:sz w:val="24"/>
        </w:rPr>
        <w:t>。</w:t>
      </w:r>
    </w:p>
    <w:p>
      <w:pPr>
        <w:widowControl/>
        <w:adjustRightInd w:val="0"/>
        <w:spacing w:line="360" w:lineRule="auto"/>
        <w:ind w:firstLine="480" w:firstLineChars="200"/>
        <w:rPr>
          <w:rFonts w:ascii="宋体" w:hAnsi="宋体"/>
          <w:sz w:val="24"/>
        </w:rPr>
      </w:pPr>
      <w:r>
        <w:rPr>
          <w:rFonts w:hint="eastAsia" w:ascii="宋体" w:hAnsi="宋体"/>
          <w:sz w:val="24"/>
        </w:rPr>
        <w:t>*2.1.6支持ExcelView，即支持EXCEL表样和数据表数据映射绑定，能够让制作分析的人直接通过拖拽熟悉的EXCEL单元格数据字段的形式从数据库中取数然后加以分析。</w:t>
      </w:r>
    </w:p>
    <w:p>
      <w:pPr>
        <w:widowControl/>
        <w:adjustRightInd w:val="0"/>
        <w:spacing w:line="360" w:lineRule="auto"/>
        <w:ind w:firstLine="480" w:firstLineChars="200"/>
        <w:rPr>
          <w:rFonts w:ascii="宋体" w:hAnsi="宋体"/>
          <w:sz w:val="24"/>
        </w:rPr>
      </w:pPr>
      <w:r>
        <w:rPr>
          <w:rFonts w:hint="eastAsia" w:ascii="宋体" w:hAnsi="宋体"/>
          <w:sz w:val="24"/>
        </w:rPr>
        <w:t>*2.1.7提供丰富的图表类型包括：支持柱形图、折线图、饼图、玫瑰图、雷达图、散点图、圆环图，条形图、堆积图、面积图、组合图，气泡图、地图（及自定义地图）、GIS地图、仪表盘、全距图、甘特图、瀑布图等多种图表类型和图表样式，也支持与第三方插件的集成如Echarts的集成。</w:t>
      </w:r>
    </w:p>
    <w:p>
      <w:pPr>
        <w:widowControl/>
        <w:adjustRightInd w:val="0"/>
        <w:spacing w:line="360" w:lineRule="auto"/>
        <w:ind w:firstLine="480" w:firstLineChars="200"/>
        <w:rPr>
          <w:rFonts w:ascii="宋体" w:hAnsi="宋体"/>
          <w:sz w:val="24"/>
        </w:rPr>
      </w:pPr>
      <w:r>
        <w:rPr>
          <w:rFonts w:hint="eastAsia" w:ascii="宋体" w:hAnsi="宋体"/>
          <w:sz w:val="24"/>
        </w:rPr>
        <w:t>*2.1.8支持SPA螺旋分析，分析制作人对于数据管理员提供的数据可进行再一次处理，以满足自己前端分析时的需要。包括新增公式列、过滤、分组汇总、使用部分字段、多个数据集合并等数据处理。</w:t>
      </w:r>
    </w:p>
    <w:p>
      <w:pPr>
        <w:widowControl/>
        <w:adjustRightInd w:val="0"/>
        <w:spacing w:line="360" w:lineRule="auto"/>
        <w:ind w:firstLine="480" w:firstLineChars="200"/>
        <w:rPr>
          <w:rFonts w:ascii="宋体" w:hAnsi="宋体"/>
          <w:sz w:val="24"/>
        </w:rPr>
      </w:pPr>
      <w:r>
        <w:rPr>
          <w:rFonts w:hint="eastAsia" w:ascii="宋体" w:hAnsi="宋体"/>
          <w:sz w:val="24"/>
        </w:rPr>
        <w:t>*2.1.9支持多种数据分析功能，包括添加计算指标，对数据进行切片、切块观察，组件之间的数据联动，数据预警，数据上卷下钻，数据维度旋转、自定义分组、排序、维度切换、指标切换、图表类型切换等多维分析手段。</w:t>
      </w:r>
    </w:p>
    <w:p>
      <w:pPr>
        <w:widowControl/>
        <w:adjustRightInd w:val="0"/>
        <w:spacing w:line="360" w:lineRule="auto"/>
        <w:ind w:firstLine="480" w:firstLineChars="200"/>
        <w:rPr>
          <w:rFonts w:ascii="宋体" w:hAnsi="宋体"/>
          <w:sz w:val="24"/>
        </w:rPr>
      </w:pPr>
      <w:r>
        <w:rPr>
          <w:rFonts w:hint="eastAsia" w:ascii="宋体" w:hAnsi="宋体"/>
          <w:sz w:val="24"/>
        </w:rPr>
        <w:t>*2.1.10支持通用查询，除支持文本过滤组件、数值过滤组件、下拉树过滤组件、时间类过滤组件外，也支持通用查询即支持分析查看时用户可自定义多种过滤条件组合使用，实现自定义高级筛查。</w:t>
      </w:r>
    </w:p>
    <w:p>
      <w:pPr>
        <w:widowControl/>
        <w:adjustRightInd w:val="0"/>
        <w:spacing w:line="360" w:lineRule="auto"/>
        <w:ind w:firstLine="480" w:firstLineChars="200"/>
        <w:rPr>
          <w:rFonts w:ascii="宋体" w:hAnsi="宋体"/>
          <w:sz w:val="24"/>
        </w:rPr>
      </w:pPr>
      <w:r>
        <w:rPr>
          <w:rFonts w:hint="eastAsia" w:ascii="宋体" w:hAnsi="宋体"/>
          <w:sz w:val="24"/>
        </w:rPr>
        <w:t>*2.1.11支持分析复用，一次创建</w:t>
      </w:r>
      <w:r>
        <w:rPr>
          <w:rFonts w:ascii="宋体" w:hAnsi="宋体"/>
          <w:sz w:val="24"/>
        </w:rPr>
        <w:t>的组件、</w:t>
      </w:r>
      <w:r>
        <w:rPr>
          <w:rFonts w:hint="eastAsia" w:ascii="宋体" w:hAnsi="宋体"/>
          <w:sz w:val="24"/>
        </w:rPr>
        <w:t>纬度</w:t>
      </w:r>
      <w:r>
        <w:rPr>
          <w:rFonts w:ascii="宋体" w:hAnsi="宋体"/>
          <w:sz w:val="24"/>
        </w:rPr>
        <w:t>或指标</w:t>
      </w:r>
      <w:r>
        <w:rPr>
          <w:rFonts w:hint="eastAsia" w:ascii="宋体" w:hAnsi="宋体"/>
          <w:sz w:val="24"/>
        </w:rPr>
        <w:t>，可以在不同分析制作中多次调用，加快分析效率</w:t>
      </w:r>
      <w:r>
        <w:rPr>
          <w:rFonts w:ascii="宋体" w:hAnsi="宋体"/>
          <w:sz w:val="24"/>
        </w:rPr>
        <w:t>。</w:t>
      </w:r>
    </w:p>
    <w:p>
      <w:pPr>
        <w:widowControl/>
        <w:adjustRightInd w:val="0"/>
        <w:spacing w:line="360" w:lineRule="auto"/>
        <w:ind w:firstLine="480" w:firstLineChars="200"/>
        <w:rPr>
          <w:rFonts w:ascii="宋体" w:hAnsi="宋体"/>
          <w:sz w:val="24"/>
        </w:rPr>
      </w:pPr>
      <w:r>
        <w:rPr>
          <w:rFonts w:hint="eastAsia" w:ascii="宋体" w:hAnsi="宋体"/>
          <w:sz w:val="24"/>
        </w:rPr>
        <w:t>*2.1.12 支持移动端，提供支持IOS和Android系统的原生app，也支持提供SDK包同企业原生app进行深度集成。同时支持HTML5展示，支持与微信、钉钉及其他HTML5型app的集成。支持移动端与PC端共用模板，支持多样化的数据展现（表格/多样图表）；支持移动端数据采集录入；支持移动端过滤，联动，钻取，排序等分析操作；支持</w:t>
      </w:r>
      <w:r>
        <w:rPr>
          <w:rFonts w:ascii="宋体" w:hAnsi="宋体"/>
          <w:sz w:val="24"/>
        </w:rPr>
        <w:t>消息推送、批注分享、扫码输入、离线、拍照上传</w:t>
      </w:r>
      <w:r>
        <w:rPr>
          <w:rFonts w:hint="eastAsia" w:ascii="宋体" w:hAnsi="宋体"/>
          <w:sz w:val="24"/>
        </w:rPr>
        <w:t>等实用小功能。</w:t>
      </w:r>
    </w:p>
    <w:p>
      <w:pPr>
        <w:widowControl/>
        <w:adjustRightInd w:val="0"/>
        <w:spacing w:line="360" w:lineRule="auto"/>
        <w:ind w:firstLine="480" w:firstLineChars="200"/>
        <w:rPr>
          <w:rFonts w:ascii="宋体" w:hAnsi="宋体"/>
          <w:sz w:val="24"/>
        </w:rPr>
      </w:pPr>
      <w:r>
        <w:rPr>
          <w:rFonts w:hint="eastAsia" w:ascii="宋体" w:hAnsi="宋体"/>
          <w:sz w:val="24"/>
        </w:rPr>
        <w:t xml:space="preserve">*2.1.13支持分析页面分享及申请管理员挂出，分析的制作人将分析页面做好后可将其分享给领导或同事进行及时查看。也可申请管理员将其挂在与公共目录给有权限的人员查看 </w:t>
      </w:r>
    </w:p>
    <w:p>
      <w:pPr>
        <w:widowControl/>
        <w:adjustRightInd w:val="0"/>
        <w:spacing w:line="360" w:lineRule="auto"/>
        <w:ind w:firstLine="480" w:firstLineChars="200"/>
        <w:rPr>
          <w:rFonts w:hint="eastAsia" w:ascii="宋体" w:hAnsi="宋体"/>
          <w:b w:val="0"/>
          <w:bCs w:val="0"/>
          <w:sz w:val="24"/>
        </w:rPr>
      </w:pPr>
      <w:r>
        <w:rPr>
          <w:rFonts w:hint="eastAsia" w:ascii="宋体" w:hAnsi="宋体"/>
          <w:b w:val="0"/>
          <w:bCs w:val="0"/>
          <w:sz w:val="24"/>
        </w:rPr>
        <w:t>*2.1.14本次投标</w:t>
      </w:r>
      <w:bookmarkStart w:id="0" w:name="_GoBack"/>
      <w:r>
        <w:rPr>
          <w:rFonts w:hint="eastAsia" w:ascii="宋体" w:hAnsi="宋体"/>
          <w:b w:val="0"/>
          <w:bCs w:val="0"/>
          <w:sz w:val="24"/>
        </w:rPr>
        <w:t>只接受国产工具软件产品</w:t>
      </w:r>
      <w:bookmarkEnd w:id="0"/>
      <w:r>
        <w:rPr>
          <w:rFonts w:hint="eastAsia" w:ascii="宋体" w:hAnsi="宋体"/>
          <w:b w:val="0"/>
          <w:bCs w:val="0"/>
          <w:sz w:val="24"/>
        </w:rPr>
        <w:t>，且只接受工具软件产品原始厂商（以下简称“厂家”）参与，不得为代理商，厂家提供投标产品拥有国家版权局颁发的计算机软件著作权登记证书。</w:t>
      </w:r>
    </w:p>
    <w:p>
      <w:pPr>
        <w:widowControl/>
        <w:adjustRightInd w:val="0"/>
        <w:spacing w:line="360" w:lineRule="auto"/>
        <w:ind w:firstLine="480" w:firstLineChars="200"/>
        <w:rPr>
          <w:rFonts w:ascii="宋体" w:hAnsi="宋体"/>
          <w:sz w:val="24"/>
        </w:rPr>
      </w:pPr>
      <w:r>
        <w:rPr>
          <w:rFonts w:hint="eastAsia" w:ascii="宋体" w:hAnsi="宋体"/>
          <w:sz w:val="24"/>
        </w:rPr>
        <w:t>*2.1.1 5 厂家需对产品拥有自主著作权，不得在所提供产品中集成、应用其他第三方免费开源或收费产品或功能模块。厂家不得和其他同类型厂家存在著作权、产品版权等纠纷。</w:t>
      </w:r>
    </w:p>
    <w:p>
      <w:pPr>
        <w:widowControl/>
        <w:adjustRightInd w:val="0"/>
        <w:spacing w:line="360" w:lineRule="auto"/>
        <w:ind w:firstLine="480" w:firstLineChars="200"/>
        <w:rPr>
          <w:rFonts w:ascii="宋体" w:hAnsi="宋体"/>
          <w:sz w:val="24"/>
        </w:rPr>
      </w:pPr>
      <w:r>
        <w:rPr>
          <w:rFonts w:hint="eastAsia" w:ascii="宋体" w:hAnsi="宋体"/>
          <w:sz w:val="24"/>
        </w:rPr>
        <w:t>*2.1.16</w:t>
      </w:r>
      <w:r>
        <w:rPr>
          <w:rFonts w:hint="eastAsia" w:ascii="宋体" w:hAnsi="宋体"/>
          <w:b w:val="0"/>
          <w:bCs w:val="0"/>
          <w:sz w:val="24"/>
        </w:rPr>
        <w:t>厂家公司成立时间需3年及以上，厂家</w:t>
      </w:r>
      <w:r>
        <w:rPr>
          <w:rFonts w:hint="eastAsia" w:ascii="宋体" w:hAnsi="宋体"/>
          <w:sz w:val="24"/>
        </w:rPr>
        <w:t>需通过IOS国际质量监督体系认证，具有省（直辖市、自治区）级主管单位颁发的高新技术企业证书。厂家年销售额应在8000万以上，并提供相关税务或审计证明.</w:t>
      </w:r>
    </w:p>
    <w:p>
      <w:pPr>
        <w:widowControl/>
        <w:adjustRightInd w:val="0"/>
        <w:spacing w:line="360" w:lineRule="auto"/>
        <w:ind w:firstLine="480" w:firstLineChars="200"/>
        <w:rPr>
          <w:rFonts w:ascii="宋体" w:hAnsi="宋体"/>
          <w:sz w:val="24"/>
        </w:rPr>
      </w:pPr>
      <w:r>
        <w:rPr>
          <w:rFonts w:hint="eastAsia" w:ascii="宋体" w:hAnsi="宋体"/>
          <w:sz w:val="24"/>
        </w:rPr>
        <w:t>*2.1.17厂家总员工数不得少于300人，为本项目配备的项目经理需具有具有项目管理专业人员资格认证（PMP），并提供社保证明</w:t>
      </w:r>
    </w:p>
    <w:p>
      <w:pPr>
        <w:spacing w:line="360" w:lineRule="auto"/>
        <w:ind w:firstLine="480" w:firstLineChars="200"/>
        <w:outlineLvl w:val="0"/>
        <w:rPr>
          <w:rFonts w:ascii="宋体" w:hAnsi="宋体"/>
          <w:sz w:val="24"/>
        </w:rPr>
      </w:pPr>
      <w:r>
        <w:rPr>
          <w:rFonts w:hint="eastAsia" w:ascii="宋体" w:hAnsi="宋体"/>
          <w:sz w:val="24"/>
        </w:rPr>
        <w:t>2.2其它</w:t>
      </w:r>
      <w:r>
        <w:rPr>
          <w:rFonts w:ascii="宋体" w:hAnsi="宋体"/>
          <w:sz w:val="24"/>
        </w:rPr>
        <w:t>要求</w:t>
      </w:r>
    </w:p>
    <w:p>
      <w:pPr>
        <w:adjustRightInd w:val="0"/>
        <w:snapToGrid w:val="0"/>
        <w:spacing w:line="360" w:lineRule="auto"/>
        <w:ind w:firstLine="480" w:firstLineChars="200"/>
        <w:rPr>
          <w:rFonts w:ascii="宋体" w:hAnsi="宋体"/>
          <w:sz w:val="24"/>
        </w:rPr>
      </w:pPr>
      <w:r>
        <w:rPr>
          <w:rFonts w:hint="eastAsia" w:ascii="宋体" w:hAnsi="宋体"/>
          <w:sz w:val="24"/>
        </w:rPr>
        <w:t>2.2.1</w:t>
      </w:r>
      <w:r>
        <w:rPr>
          <w:rFonts w:ascii="宋体" w:hAnsi="宋体"/>
          <w:sz w:val="24"/>
        </w:rPr>
        <w:t>产品应充分考虑为</w:t>
      </w:r>
      <w:r>
        <w:rPr>
          <w:rFonts w:hint="eastAsia" w:ascii="宋体" w:hAnsi="宋体"/>
          <w:sz w:val="24"/>
        </w:rPr>
        <w:t>企业数据提供完善的处理方案和管理策略，也能够提供自由灵活的前端多维分析和多样的可视化展现。</w:t>
      </w:r>
    </w:p>
    <w:p>
      <w:pPr>
        <w:adjustRightInd w:val="0"/>
        <w:snapToGrid w:val="0"/>
        <w:spacing w:line="360" w:lineRule="auto"/>
        <w:ind w:firstLine="480" w:firstLineChars="200"/>
        <w:rPr>
          <w:rFonts w:ascii="宋体" w:hAnsi="宋体"/>
          <w:sz w:val="24"/>
        </w:rPr>
      </w:pPr>
      <w:r>
        <w:rPr>
          <w:rFonts w:hint="eastAsia" w:ascii="宋体" w:hAnsi="宋体"/>
          <w:sz w:val="24"/>
        </w:rPr>
        <w:t>2.2.2产品</w:t>
      </w:r>
      <w:r>
        <w:rPr>
          <w:rFonts w:ascii="宋体" w:hAnsi="宋体"/>
          <w:sz w:val="24"/>
        </w:rPr>
        <w:t>需有</w:t>
      </w:r>
      <w:r>
        <w:rPr>
          <w:rFonts w:hint="eastAsia" w:ascii="宋体" w:hAnsi="宋体"/>
          <w:sz w:val="24"/>
        </w:rPr>
        <w:t>自由灵活的前端自助取数、自助多维分析和知识共享策略；</w:t>
      </w:r>
    </w:p>
    <w:p>
      <w:pPr>
        <w:adjustRightInd w:val="0"/>
        <w:snapToGrid w:val="0"/>
        <w:spacing w:line="360" w:lineRule="auto"/>
        <w:ind w:firstLine="480" w:firstLineChars="200"/>
        <w:rPr>
          <w:rFonts w:ascii="宋体" w:hAnsi="宋体"/>
          <w:sz w:val="24"/>
        </w:rPr>
      </w:pPr>
      <w:r>
        <w:rPr>
          <w:rFonts w:hint="eastAsia" w:ascii="宋体" w:hAnsi="宋体"/>
          <w:sz w:val="24"/>
        </w:rPr>
        <w:t>2.2.</w:t>
      </w:r>
      <w:r>
        <w:rPr>
          <w:rFonts w:ascii="宋体" w:hAnsi="宋体"/>
          <w:sz w:val="24"/>
        </w:rPr>
        <w:t>3产品需有</w:t>
      </w:r>
      <w:r>
        <w:rPr>
          <w:rFonts w:hint="eastAsia" w:ascii="宋体" w:hAnsi="宋体"/>
          <w:sz w:val="24"/>
        </w:rPr>
        <w:t>完善的多屏应用解决方案，以及</w:t>
      </w:r>
      <w:r>
        <w:rPr>
          <w:rFonts w:ascii="宋体" w:hAnsi="宋体"/>
          <w:sz w:val="24"/>
        </w:rPr>
        <w:t>对大数据的良好支撑</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2.3软件</w:t>
      </w:r>
      <w:r>
        <w:rPr>
          <w:rFonts w:ascii="宋体" w:hAnsi="宋体"/>
          <w:sz w:val="24"/>
        </w:rPr>
        <w:t>详细</w:t>
      </w:r>
      <w:r>
        <w:rPr>
          <w:rFonts w:hint="eastAsia" w:ascii="宋体" w:hAnsi="宋体"/>
          <w:sz w:val="24"/>
        </w:rPr>
        <w:t>技术要求</w:t>
      </w:r>
    </w:p>
    <w:p>
      <w:pPr>
        <w:adjustRightInd w:val="0"/>
        <w:snapToGrid w:val="0"/>
        <w:spacing w:line="360" w:lineRule="auto"/>
        <w:ind w:firstLine="480" w:firstLineChars="200"/>
        <w:rPr>
          <w:rFonts w:ascii="宋体" w:hAnsi="宋体"/>
          <w:sz w:val="24"/>
        </w:rPr>
      </w:pPr>
      <w:r>
        <w:rPr>
          <w:rFonts w:hint="eastAsia" w:ascii="宋体" w:hAnsi="宋体"/>
          <w:sz w:val="24"/>
        </w:rPr>
        <w:t>2.3.1</w:t>
      </w:r>
      <w:r>
        <w:rPr>
          <w:rFonts w:ascii="宋体" w:hAnsi="宋体"/>
          <w:sz w:val="24"/>
        </w:rPr>
        <w:t>要求程序接口支持javaApi，Hibernate数据源，支持WebService、 SOA等标准的数据</w:t>
      </w:r>
      <w:r>
        <w:rPr>
          <w:rFonts w:hint="eastAsia" w:ascii="宋体" w:hAnsi="宋体"/>
          <w:sz w:val="24"/>
        </w:rPr>
        <w:t>；</w:t>
      </w:r>
    </w:p>
    <w:p>
      <w:pPr>
        <w:autoSpaceDE w:val="0"/>
        <w:autoSpaceDN w:val="0"/>
        <w:adjustRightInd w:val="0"/>
        <w:spacing w:line="360" w:lineRule="auto"/>
        <w:ind w:firstLine="480" w:firstLineChars="200"/>
        <w:rPr>
          <w:rFonts w:ascii="宋体" w:hAnsi="宋体" w:cstheme="minorEastAsia"/>
          <w:kern w:val="0"/>
          <w:sz w:val="24"/>
        </w:rPr>
      </w:pPr>
      <w:r>
        <w:rPr>
          <w:rFonts w:hint="eastAsia" w:ascii="宋体" w:hAnsi="宋体"/>
          <w:sz w:val="24"/>
        </w:rPr>
        <w:t xml:space="preserve">2.3.2 </w:t>
      </w:r>
      <w:r>
        <w:rPr>
          <w:rFonts w:ascii="宋体" w:hAnsi="宋体"/>
          <w:sz w:val="24"/>
        </w:rPr>
        <w:t>支持按照业务增量需求建立数据业务包</w:t>
      </w:r>
      <w:r>
        <w:rPr>
          <w:rFonts w:hint="eastAsia" w:ascii="宋体" w:hAnsi="宋体"/>
          <w:sz w:val="24"/>
        </w:rPr>
        <w:t>，按业务包以分析主题进行数据的集中管理</w:t>
      </w:r>
      <w:r>
        <w:rPr>
          <w:rFonts w:hint="eastAsia" w:ascii="宋体" w:hAnsi="宋体" w:cstheme="minorEastAsia"/>
          <w:kern w:val="0"/>
          <w:sz w:val="24"/>
        </w:rPr>
        <w:t>；</w:t>
      </w:r>
      <w:r>
        <w:rPr>
          <w:rFonts w:hint="eastAsia" w:ascii="宋体" w:hAnsi="宋体"/>
          <w:sz w:val="24"/>
        </w:rPr>
        <w:t>同时支持按业务包数据权限分配，给不同部门、职位、角色的用户</w:t>
      </w:r>
      <w:r>
        <w:rPr>
          <w:rFonts w:ascii="宋体" w:hAnsi="宋体"/>
          <w:sz w:val="24"/>
        </w:rPr>
        <w:t>批量</w:t>
      </w:r>
      <w:r>
        <w:rPr>
          <w:rFonts w:hint="eastAsia" w:ascii="宋体" w:hAnsi="宋体"/>
          <w:sz w:val="24"/>
        </w:rPr>
        <w:t>分配数据权限，权限粒度可细至每个业务包的每张数据库表的每一条数据记录</w:t>
      </w:r>
      <w:r>
        <w:rPr>
          <w:rFonts w:hint="eastAsia" w:ascii="宋体" w:hAnsi="宋体" w:cstheme="minorEastAsia"/>
          <w:kern w:val="0"/>
          <w:sz w:val="24"/>
        </w:rPr>
        <w:t>；</w:t>
      </w:r>
    </w:p>
    <w:p>
      <w:pPr>
        <w:autoSpaceDE w:val="0"/>
        <w:autoSpaceDN w:val="0"/>
        <w:adjustRightInd w:val="0"/>
        <w:spacing w:line="360" w:lineRule="auto"/>
        <w:ind w:firstLine="480" w:firstLineChars="200"/>
        <w:rPr>
          <w:rFonts w:ascii="宋体" w:hAnsi="宋体" w:cstheme="minorEastAsia"/>
          <w:kern w:val="0"/>
          <w:sz w:val="24"/>
        </w:rPr>
      </w:pPr>
      <w:r>
        <w:rPr>
          <w:rFonts w:hint="eastAsia" w:ascii="宋体" w:hAnsi="宋体"/>
          <w:sz w:val="24"/>
        </w:rPr>
        <w:t xml:space="preserve">2.3.3 </w:t>
      </w:r>
      <w:r>
        <w:rPr>
          <w:rFonts w:ascii="宋体" w:hAnsi="宋体"/>
          <w:sz w:val="24"/>
        </w:rPr>
        <w:t>支持自动读取数据库中的</w:t>
      </w:r>
      <w:r>
        <w:rPr>
          <w:rFonts w:hint="eastAsia" w:ascii="宋体" w:hAnsi="宋体"/>
          <w:sz w:val="24"/>
        </w:rPr>
        <w:t>表名及字段名的</w:t>
      </w:r>
      <w:r>
        <w:rPr>
          <w:rFonts w:ascii="宋体" w:hAnsi="宋体"/>
          <w:sz w:val="24"/>
        </w:rPr>
        <w:t>数据转义，也支持</w:t>
      </w:r>
      <w:r>
        <w:rPr>
          <w:rFonts w:hint="eastAsia" w:ascii="宋体" w:hAnsi="宋体"/>
          <w:sz w:val="24"/>
        </w:rPr>
        <w:t>自定义或</w:t>
      </w:r>
      <w:r>
        <w:rPr>
          <w:rFonts w:ascii="宋体" w:hAnsi="宋体"/>
          <w:sz w:val="24"/>
        </w:rPr>
        <w:t>修改数据转义</w:t>
      </w:r>
      <w:r>
        <w:rPr>
          <w:rFonts w:hint="eastAsia" w:ascii="宋体" w:hAnsi="宋体" w:cstheme="minorEastAsia"/>
          <w:kern w:val="0"/>
          <w:sz w:val="24"/>
        </w:rPr>
        <w:t>；</w:t>
      </w:r>
      <w:r>
        <w:rPr>
          <w:rFonts w:ascii="宋体" w:hAnsi="宋体"/>
          <w:sz w:val="24"/>
        </w:rPr>
        <w:t>支持自动读取数据库中的数据关联，也支持</w:t>
      </w:r>
      <w:r>
        <w:rPr>
          <w:rFonts w:hint="eastAsia" w:ascii="宋体" w:hAnsi="宋体"/>
          <w:sz w:val="24"/>
        </w:rPr>
        <w:t>自定义或</w:t>
      </w:r>
      <w:r>
        <w:rPr>
          <w:rFonts w:ascii="宋体" w:hAnsi="宋体"/>
          <w:sz w:val="24"/>
        </w:rPr>
        <w:t>修改数据关联</w:t>
      </w:r>
      <w:r>
        <w:rPr>
          <w:rFonts w:hint="eastAsia" w:ascii="宋体" w:hAnsi="宋体" w:cstheme="minorEastAsia"/>
          <w:kern w:val="0"/>
          <w:sz w:val="24"/>
        </w:rPr>
        <w:t>；</w:t>
      </w:r>
    </w:p>
    <w:p>
      <w:pPr>
        <w:autoSpaceDE w:val="0"/>
        <w:autoSpaceDN w:val="0"/>
        <w:adjustRightInd w:val="0"/>
        <w:spacing w:line="360" w:lineRule="auto"/>
        <w:ind w:firstLine="480" w:firstLineChars="200"/>
        <w:rPr>
          <w:rFonts w:ascii="宋体" w:hAnsi="宋体" w:cstheme="minorEastAsia"/>
          <w:kern w:val="0"/>
          <w:sz w:val="24"/>
        </w:rPr>
      </w:pPr>
      <w:r>
        <w:rPr>
          <w:rFonts w:hint="eastAsia" w:ascii="宋体" w:hAnsi="宋体"/>
          <w:sz w:val="24"/>
        </w:rPr>
        <w:t xml:space="preserve">2.3.4 </w:t>
      </w:r>
      <w:r>
        <w:rPr>
          <w:rFonts w:ascii="宋体" w:hAnsi="宋体"/>
          <w:sz w:val="24"/>
        </w:rPr>
        <w:t>支持对</w:t>
      </w:r>
      <w:r>
        <w:rPr>
          <w:rFonts w:hint="eastAsia" w:ascii="宋体" w:hAnsi="宋体"/>
          <w:sz w:val="24"/>
        </w:rPr>
        <w:t>原始数据</w:t>
      </w:r>
      <w:r>
        <w:rPr>
          <w:rFonts w:ascii="宋体" w:hAnsi="宋体"/>
          <w:sz w:val="24"/>
        </w:rPr>
        <w:t>进行ETL处理，包括新增公示列、left join、right join、inner join、outer join、union、行列转换、使用部分字段、过滤、分组统计、构建自循环列、新增分组列</w:t>
      </w:r>
      <w:r>
        <w:rPr>
          <w:rFonts w:hint="eastAsia" w:ascii="宋体" w:hAnsi="宋体" w:cstheme="minorEastAsia"/>
          <w:kern w:val="0"/>
          <w:sz w:val="24"/>
        </w:rPr>
        <w:t>；</w:t>
      </w:r>
    </w:p>
    <w:p>
      <w:pPr>
        <w:autoSpaceDE w:val="0"/>
        <w:autoSpaceDN w:val="0"/>
        <w:adjustRightInd w:val="0"/>
        <w:spacing w:line="360" w:lineRule="auto"/>
        <w:ind w:firstLine="480" w:firstLineChars="200"/>
        <w:rPr>
          <w:rFonts w:ascii="宋体" w:hAnsi="宋体" w:cstheme="minorEastAsia"/>
          <w:kern w:val="0"/>
          <w:sz w:val="24"/>
        </w:rPr>
      </w:pPr>
      <w:r>
        <w:rPr>
          <w:rFonts w:hint="eastAsia" w:ascii="宋体" w:hAnsi="宋体"/>
          <w:sz w:val="24"/>
        </w:rPr>
        <w:t xml:space="preserve">2.3.5 </w:t>
      </w:r>
      <w:r>
        <w:rPr>
          <w:rFonts w:ascii="宋体" w:hAnsi="宋体"/>
          <w:sz w:val="24"/>
        </w:rPr>
        <w:t>支持</w:t>
      </w:r>
      <w:r>
        <w:rPr>
          <w:rFonts w:hint="eastAsia" w:ascii="宋体" w:hAnsi="宋体"/>
          <w:sz w:val="24"/>
        </w:rPr>
        <w:t>定时全局更新和局部单表更新，支持</w:t>
      </w:r>
      <w:r>
        <w:rPr>
          <w:rFonts w:ascii="宋体" w:hAnsi="宋体"/>
          <w:sz w:val="24"/>
        </w:rPr>
        <w:t>定时全量</w:t>
      </w:r>
      <w:r>
        <w:rPr>
          <w:rFonts w:hint="eastAsia" w:ascii="宋体" w:hAnsi="宋体"/>
          <w:sz w:val="24"/>
        </w:rPr>
        <w:t>更新及增量</w:t>
      </w:r>
      <w:r>
        <w:rPr>
          <w:rFonts w:ascii="宋体" w:hAnsi="宋体"/>
          <w:sz w:val="24"/>
        </w:rPr>
        <w:t>更新</w:t>
      </w:r>
      <w:r>
        <w:rPr>
          <w:rFonts w:hint="eastAsia" w:ascii="宋体" w:hAnsi="宋体"/>
          <w:sz w:val="24"/>
        </w:rPr>
        <w:t>数据到</w:t>
      </w:r>
      <w:r>
        <w:rPr>
          <w:rFonts w:ascii="宋体" w:hAnsi="宋体"/>
          <w:sz w:val="24"/>
        </w:rPr>
        <w:t>多维数据库cube</w:t>
      </w:r>
      <w:r>
        <w:rPr>
          <w:rFonts w:hint="eastAsia" w:ascii="宋体" w:hAnsi="宋体" w:cstheme="minorEastAsia"/>
          <w:kern w:val="0"/>
          <w:sz w:val="24"/>
        </w:rPr>
        <w:t>；</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2.3.6 支持从有数据权限的业务包中选择任意字段拖拽生成表格或者图表；所有图表及样式的配置均通过可视化鼠标点击拖拽完成。</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2.3.7 支持一个页面放置多个组件，且组件布局支持自适应和自由布局；</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2.3.8 组件支持多种样式的表格，配合各种业务需求展现数据。包括明细列表、分组、交叉、复杂表格，支持表格多种风格样式的选择，及自由调整列宽。</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2.3.9 支持多种类型的数据过滤查询控件，包含文本类控件、数值类控件、日期类控件、树控件；且支持通用查询即支持分析查看时用户可可自定义多种过滤条件自由组合使用，实现自定义高级筛查。</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2.3.10支持丰富页面的其他扩展性组件，包括：文本组件，可以插入文字进行说明描述；图片组件，可插入图片且可以在图片上添加超链接；web组件，可以将单独制作的网页嵌入页面中；</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2.3.11 支持在平台公共区域给整个系统的图表统一配置颜色风格，支持对一个模板页面进行整体配色风格设置，也支持在模板中给单个图表配置颜色风格；</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2.3.12 支持维度数据的自定义分组，即支持用户查看数据时基于当前分组维度再进行二次自定义分组汇总统计；</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2.3.13 普通用户自己制作的模板可以分享给其他用户查看，支持分享给角色下面的用户，支持批量分享；同时可以申请给超级管理员挂至目录树节点通过权限设置分配给其他相关用户查看；</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2.3.14 Dashboard支持数据预警功能，对于在某个数据区间的数据可以进行红绿灯预警或者数据前景预警；</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2.3.15 移动端支持图表上卷下钻、联动、维度切换及隐藏、指标切换及隐藏；支持条件查询、提供参数查询界面，可自定义修改或添加新的过滤条件；</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2.3.16 移动端支持对分析结果、报表结果进行手动批注并通过微信、邮件等进行分享发送；</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2.3.17 支持自动识别分析结果中的手机号码，可以选择进行拨号、发信息、添加到联系人等操作；</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 xml:space="preserve">2.3.18 支持移动端设备绑定及远程解绑，指定的设备才能通过移动端查看报表，防止因设备丢失造成的数据泄露； </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2.3.19 支持不同的用户可以访问权限范围内的模板分析；支持不同的用户对于同一张报表，只能够访问权限范围内的数据</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 xml:space="preserve">2.3.20 </w:t>
      </w:r>
      <w:r>
        <w:rPr>
          <w:rFonts w:ascii="宋体" w:hAnsi="宋体"/>
          <w:color w:val="000000" w:themeColor="text1"/>
          <w:sz w:val="24"/>
        </w:rPr>
        <w:t>要求用户登录系统后，可根据自身业务特点，能够进行快速数据分析模板设计，</w:t>
      </w:r>
      <w:r>
        <w:rPr>
          <w:rFonts w:hint="eastAsia" w:ascii="宋体" w:hAnsi="宋体"/>
          <w:sz w:val="24"/>
        </w:rPr>
        <w:t>对数据分析模板进行自定义创建或修改，并能够进行最终数据分析模板的发布，选择指定查看人。制作出来的数据分析模板原则上应可实现上面所述的全部功能。系统需具有数据分析模板设计工具，可快速制作各种业务分析模板，并且系统可让用户在线的灵活选取数据并进行自定义数据分析；</w:t>
      </w:r>
    </w:p>
    <w:p>
      <w:pPr>
        <w:autoSpaceDE w:val="0"/>
        <w:autoSpaceDN w:val="0"/>
        <w:adjustRightInd w:val="0"/>
        <w:spacing w:line="360" w:lineRule="auto"/>
        <w:ind w:firstLine="420"/>
        <w:rPr>
          <w:rFonts w:ascii="宋体" w:hAnsi="宋体"/>
          <w:sz w:val="24"/>
        </w:rPr>
      </w:pPr>
      <w:r>
        <w:rPr>
          <w:rFonts w:hint="eastAsia" w:ascii="宋体" w:hAnsi="宋体"/>
          <w:sz w:val="24"/>
        </w:rPr>
        <w:t>2.3.21 要求可在各机构下方便地建立系统用户。可单独设置用户在系统中的功能权限。要求系统具备角色设置功能，可建立多级业务角色，并将角色赋予用户。系统允许按角色进行赋权的操作，使用户继承角色所拥有的权限。要求权限粒度能够控制到每一条数据记录；</w:t>
      </w:r>
    </w:p>
    <w:p>
      <w:pPr>
        <w:autoSpaceDE w:val="0"/>
        <w:autoSpaceDN w:val="0"/>
        <w:adjustRightInd w:val="0"/>
        <w:spacing w:line="360" w:lineRule="auto"/>
        <w:ind w:firstLine="420"/>
        <w:rPr>
          <w:rFonts w:ascii="宋体" w:hAnsi="宋体"/>
          <w:sz w:val="24"/>
        </w:rPr>
      </w:pPr>
      <w:r>
        <w:rPr>
          <w:rFonts w:hint="eastAsia" w:ascii="宋体" w:hAnsi="宋体"/>
          <w:sz w:val="24"/>
        </w:rPr>
        <w:t>2.3.22 系统具备日志管理功能，对系统运行日志进行浏览、查询检索、备份保存、清除、恢复、打印等操作。系统日志包括用户登录系统后的所有操作，如用户登录、退出系统的时间、用户对数据的操作及用户使用过程中的出错提示等；</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2.3.23 要求系统为B/S架构的Web应用，采用Java开发，基于J2EE标准，可跨平台部署与跨数据库部署。产品服务器配置支持通过B/S管理平台配置报表服务的各种属性，完全不需要编码；</w:t>
      </w:r>
    </w:p>
    <w:p>
      <w:pPr>
        <w:autoSpaceDE w:val="0"/>
        <w:autoSpaceDN w:val="0"/>
        <w:adjustRightInd w:val="0"/>
        <w:spacing w:line="360" w:lineRule="auto"/>
        <w:ind w:firstLine="480" w:firstLineChars="200"/>
        <w:rPr>
          <w:rFonts w:ascii="宋体" w:hAnsi="宋体"/>
          <w:color w:val="000000" w:themeColor="text1"/>
          <w:sz w:val="24"/>
        </w:rPr>
      </w:pPr>
      <w:r>
        <w:rPr>
          <w:rFonts w:hint="eastAsia" w:ascii="宋体" w:hAnsi="宋体"/>
          <w:sz w:val="24"/>
        </w:rPr>
        <w:t>2.3.24 要求系统平台外观可按照实际需求进行个性化定制，主题颜色、菜单栏样式、平台背景等细节均可进行定制，并支持一个平台拥有多外观主题，管理员可随意切换平台主题；</w:t>
      </w:r>
    </w:p>
    <w:p>
      <w:pPr>
        <w:spacing w:line="360" w:lineRule="auto"/>
        <w:ind w:firstLine="420"/>
        <w:rPr>
          <w:rFonts w:ascii="宋体" w:hAnsi="宋体"/>
          <w:color w:val="000000" w:themeColor="text1"/>
          <w:sz w:val="24"/>
        </w:rPr>
      </w:pPr>
      <w:r>
        <w:rPr>
          <w:rFonts w:hint="eastAsia" w:ascii="宋体" w:hAnsi="宋体"/>
          <w:sz w:val="24"/>
        </w:rPr>
        <w:t>2.3.25 系统需具有良好的可靠性、易用性（用户界面）、集成性、可维护性可扩展性、可管理性和软件时间效率等。要求系统具有安全保障体系的设计，</w:t>
      </w:r>
      <w:r>
        <w:rPr>
          <w:rFonts w:ascii="宋体" w:hAnsi="宋体"/>
          <w:color w:val="000000" w:themeColor="text1"/>
          <w:sz w:val="24"/>
        </w:rPr>
        <w:t>其最终目标是保护网络上信息资源的安全，使信息安全具有以下特征：</w:t>
      </w:r>
    </w:p>
    <w:p>
      <w:pPr>
        <w:pStyle w:val="12"/>
        <w:numPr>
          <w:ilvl w:val="0"/>
          <w:numId w:val="1"/>
        </w:numPr>
        <w:spacing w:line="360" w:lineRule="auto"/>
        <w:ind w:firstLineChars="0"/>
        <w:rPr>
          <w:rFonts w:ascii="宋体" w:hAnsi="宋体"/>
          <w:color w:val="000000" w:themeColor="text1"/>
          <w:sz w:val="24"/>
          <w:szCs w:val="24"/>
        </w:rPr>
      </w:pPr>
      <w:r>
        <w:rPr>
          <w:rFonts w:ascii="宋体" w:hAnsi="宋体"/>
          <w:color w:val="000000" w:themeColor="text1"/>
          <w:sz w:val="24"/>
          <w:szCs w:val="24"/>
        </w:rPr>
        <w:t>保密性：确保只有经过授权的人才能访问信息；</w:t>
      </w:r>
    </w:p>
    <w:p>
      <w:pPr>
        <w:pStyle w:val="12"/>
        <w:numPr>
          <w:ilvl w:val="0"/>
          <w:numId w:val="1"/>
        </w:numPr>
        <w:spacing w:line="360" w:lineRule="auto"/>
        <w:ind w:firstLineChars="0"/>
        <w:rPr>
          <w:rFonts w:ascii="宋体" w:hAnsi="宋体"/>
          <w:color w:val="000000" w:themeColor="text1"/>
          <w:sz w:val="24"/>
          <w:szCs w:val="24"/>
        </w:rPr>
      </w:pPr>
      <w:r>
        <w:rPr>
          <w:rFonts w:ascii="宋体" w:hAnsi="宋体"/>
          <w:color w:val="000000" w:themeColor="text1"/>
          <w:sz w:val="24"/>
          <w:szCs w:val="24"/>
        </w:rPr>
        <w:t>完整性：保护信息和信息的处理方法准确而完整；</w:t>
      </w:r>
    </w:p>
    <w:p>
      <w:pPr>
        <w:pStyle w:val="12"/>
        <w:numPr>
          <w:ilvl w:val="0"/>
          <w:numId w:val="1"/>
        </w:numPr>
        <w:spacing w:line="360" w:lineRule="auto"/>
        <w:ind w:firstLineChars="0"/>
        <w:rPr>
          <w:rFonts w:ascii="宋体" w:hAnsi="宋体"/>
          <w:color w:val="000000" w:themeColor="text1"/>
          <w:sz w:val="24"/>
          <w:szCs w:val="24"/>
        </w:rPr>
      </w:pPr>
      <w:r>
        <w:rPr>
          <w:rFonts w:ascii="宋体" w:hAnsi="宋体"/>
          <w:color w:val="000000" w:themeColor="text1"/>
          <w:sz w:val="24"/>
          <w:szCs w:val="24"/>
        </w:rPr>
        <w:t>可用性：确保经过授权的用户在需要时可以访问信息并使用相关信息资产。</w:t>
      </w:r>
    </w:p>
    <w:p>
      <w:pPr>
        <w:autoSpaceDE w:val="0"/>
        <w:autoSpaceDN w:val="0"/>
        <w:adjustRightInd w:val="0"/>
        <w:spacing w:line="360" w:lineRule="auto"/>
        <w:ind w:left="420"/>
        <w:rPr>
          <w:rFonts w:ascii="宋体" w:hAnsi="宋体"/>
          <w:sz w:val="24"/>
        </w:rPr>
      </w:pPr>
      <w:r>
        <w:rPr>
          <w:rFonts w:hint="eastAsia" w:ascii="宋体" w:hAnsi="宋体"/>
          <w:sz w:val="24"/>
        </w:rPr>
        <w:t>2.3.26 要求移动终端上进行系统登录亦能够满足权限控制等系统功能要求，并且不需要额外的开发工作量；</w:t>
      </w:r>
    </w:p>
    <w:p>
      <w:pPr>
        <w:ind w:firstLine="420" w:firstLineChars="175"/>
        <w:rPr>
          <w:rFonts w:ascii="宋体" w:hAnsi="宋体"/>
          <w:sz w:val="24"/>
        </w:rPr>
      </w:pPr>
      <w:r>
        <w:rPr>
          <w:rFonts w:hint="eastAsia" w:ascii="宋体" w:hAnsi="宋体"/>
          <w:sz w:val="24"/>
        </w:rPr>
        <w:t>2.3.27 对用户的个性化需求，提供标准插件接口，让用户可在产品的开放接口和需求仓库的基础上，开发出属于自己的个性化需求插件。</w:t>
      </w:r>
    </w:p>
    <w:p>
      <w:pPr>
        <w:spacing w:line="360" w:lineRule="auto"/>
        <w:ind w:firstLine="480" w:firstLineChars="200"/>
        <w:outlineLvl w:val="0"/>
        <w:rPr>
          <w:rFonts w:ascii="宋体" w:hAnsi="宋体"/>
          <w:sz w:val="24"/>
        </w:rPr>
      </w:pPr>
      <w:r>
        <w:rPr>
          <w:rFonts w:hint="eastAsia" w:ascii="宋体" w:hAnsi="宋体"/>
          <w:sz w:val="24"/>
        </w:rPr>
        <w:t>3.特殊技术要求</w:t>
      </w:r>
    </w:p>
    <w:p>
      <w:pPr>
        <w:spacing w:line="360" w:lineRule="auto"/>
        <w:ind w:firstLine="420" w:firstLineChars="175"/>
        <w:rPr>
          <w:rFonts w:ascii="宋体" w:hAnsi="宋体"/>
          <w:sz w:val="24"/>
        </w:rPr>
      </w:pPr>
      <w:r>
        <w:rPr>
          <w:rFonts w:hint="eastAsia" w:ascii="宋体" w:hAnsi="宋体"/>
          <w:sz w:val="24"/>
        </w:rPr>
        <w:t>3.1一年原厂商</w:t>
      </w:r>
      <w:r>
        <w:rPr>
          <w:rFonts w:ascii="宋体" w:hAnsi="宋体"/>
          <w:sz w:val="24"/>
        </w:rPr>
        <w:t>7X24</w:t>
      </w:r>
      <w:r>
        <w:rPr>
          <w:rFonts w:hint="eastAsia" w:ascii="宋体" w:hAnsi="宋体"/>
          <w:sz w:val="24"/>
        </w:rPr>
        <w:t>小时技术服务</w:t>
      </w:r>
      <w:r>
        <w:rPr>
          <w:rFonts w:ascii="宋体" w:hAnsi="宋体"/>
          <w:sz w:val="24"/>
        </w:rPr>
        <w:t xml:space="preserve"> </w:t>
      </w:r>
      <w:r>
        <w:rPr>
          <w:rFonts w:hint="eastAsia" w:ascii="宋体" w:hAnsi="宋体"/>
          <w:sz w:val="24"/>
        </w:rPr>
        <w:t>，免费维护期自双方代表在产品终验验收单上签字之日起计算；</w:t>
      </w:r>
    </w:p>
    <w:p>
      <w:pPr>
        <w:spacing w:line="360" w:lineRule="auto"/>
        <w:ind w:firstLine="480" w:firstLineChars="200"/>
        <w:rPr>
          <w:rFonts w:ascii="宋体" w:hAnsi="宋体"/>
          <w:sz w:val="24"/>
        </w:rPr>
      </w:pPr>
      <w:r>
        <w:rPr>
          <w:rFonts w:hint="eastAsia" w:ascii="宋体" w:hAnsi="宋体"/>
          <w:sz w:val="24"/>
        </w:rPr>
        <w:t>3.2需要提供原厂商授权；</w:t>
      </w:r>
    </w:p>
    <w:p>
      <w:pPr>
        <w:spacing w:line="360" w:lineRule="auto"/>
        <w:ind w:firstLine="480" w:firstLineChars="200"/>
        <w:rPr>
          <w:rFonts w:ascii="宋体" w:hAnsi="宋体"/>
          <w:sz w:val="24"/>
        </w:rPr>
      </w:pPr>
      <w:r>
        <w:rPr>
          <w:rFonts w:hint="eastAsia" w:ascii="宋体" w:hAnsi="宋体"/>
          <w:sz w:val="24"/>
        </w:rPr>
        <w:t>3.3</w:t>
      </w:r>
      <w:r>
        <w:rPr>
          <w:rFonts w:ascii="宋体" w:hAnsi="宋体"/>
          <w:sz w:val="24"/>
        </w:rPr>
        <w:t>设备质保、补丁更新等服务必须由原厂商提供；</w:t>
      </w:r>
    </w:p>
    <w:p>
      <w:pPr>
        <w:spacing w:line="360" w:lineRule="auto"/>
        <w:ind w:firstLine="480" w:firstLineChars="200"/>
        <w:rPr>
          <w:rFonts w:ascii="宋体" w:hAnsi="宋体"/>
          <w:sz w:val="24"/>
        </w:rPr>
      </w:pPr>
      <w:r>
        <w:rPr>
          <w:rFonts w:hint="eastAsia" w:ascii="宋体" w:hAnsi="宋体"/>
          <w:sz w:val="24"/>
        </w:rPr>
        <w:t xml:space="preserve">3.4根据甲方要求进行软件系统安装部署和管理配置； </w:t>
      </w:r>
    </w:p>
    <w:p>
      <w:pPr>
        <w:spacing w:line="360" w:lineRule="auto"/>
        <w:ind w:firstLine="480" w:firstLineChars="200"/>
        <w:rPr>
          <w:rFonts w:ascii="宋体" w:hAnsi="宋体"/>
          <w:sz w:val="24"/>
        </w:rPr>
      </w:pPr>
      <w:r>
        <w:rPr>
          <w:rFonts w:hint="eastAsia" w:ascii="宋体" w:hAnsi="宋体"/>
          <w:sz w:val="24"/>
        </w:rPr>
        <w:t>3.5安装调试完毕后，应向招标方提交详细的《安装计划》、《安装文档》、《测试文档》、《维护手册》等；</w:t>
      </w:r>
    </w:p>
    <w:p>
      <w:pPr>
        <w:spacing w:line="360" w:lineRule="auto"/>
        <w:ind w:firstLine="480" w:firstLineChars="200"/>
        <w:rPr>
          <w:rFonts w:ascii="宋体" w:hAnsi="宋体"/>
          <w:sz w:val="24"/>
        </w:rPr>
      </w:pPr>
      <w:r>
        <w:rPr>
          <w:rFonts w:hint="eastAsia" w:ascii="宋体" w:hAnsi="宋体"/>
          <w:sz w:val="24"/>
        </w:rPr>
        <w:t>3.6安装完成后，负责向招标方进行现场培训、测试；</w:t>
      </w:r>
    </w:p>
    <w:p>
      <w:pPr>
        <w:spacing w:line="360" w:lineRule="auto"/>
        <w:ind w:firstLine="480" w:firstLineChars="200"/>
        <w:rPr>
          <w:rFonts w:ascii="宋体" w:hAnsi="宋体"/>
          <w:sz w:val="24"/>
        </w:rPr>
      </w:pPr>
      <w:r>
        <w:rPr>
          <w:rFonts w:hint="eastAsia" w:ascii="宋体" w:hAnsi="宋体"/>
          <w:sz w:val="24"/>
        </w:rPr>
        <w:t>3.7在质保期内的中标方免费提供软件升级服务，</w:t>
      </w:r>
      <w:r>
        <w:rPr>
          <w:rFonts w:ascii="宋体" w:hAnsi="宋体"/>
          <w:sz w:val="24"/>
        </w:rPr>
        <w:t xml:space="preserve">协助实施系统性能优化和功能调整服务； </w:t>
      </w:r>
    </w:p>
    <w:p>
      <w:pPr>
        <w:spacing w:line="360" w:lineRule="auto"/>
        <w:ind w:firstLine="480" w:firstLineChars="200"/>
        <w:rPr>
          <w:rFonts w:ascii="宋体" w:hAnsi="宋体"/>
          <w:sz w:val="24"/>
        </w:rPr>
      </w:pPr>
      <w:r>
        <w:rPr>
          <w:rFonts w:hint="eastAsia" w:ascii="宋体" w:hAnsi="宋体"/>
          <w:sz w:val="24"/>
        </w:rPr>
        <w:t>3.8</w:t>
      </w:r>
      <w:r>
        <w:rPr>
          <w:rFonts w:ascii="宋体" w:hAnsi="宋体"/>
          <w:sz w:val="24"/>
        </w:rPr>
        <w:t>对于涉及关键业务的故障，须在接到招标人报修电话后30分钟内响应</w:t>
      </w:r>
      <w:r>
        <w:rPr>
          <w:rFonts w:hint="eastAsia" w:ascii="宋体" w:hAnsi="宋体"/>
          <w:sz w:val="24"/>
        </w:rPr>
        <w:t>,</w:t>
      </w:r>
      <w:r>
        <w:rPr>
          <w:rFonts w:ascii="宋体" w:hAnsi="宋体"/>
          <w:sz w:val="24"/>
        </w:rPr>
        <w:t>排除故障时间应在</w:t>
      </w:r>
      <w:r>
        <w:rPr>
          <w:rFonts w:hint="eastAsia" w:ascii="宋体" w:hAnsi="宋体"/>
          <w:sz w:val="24"/>
        </w:rPr>
        <w:t>3</w:t>
      </w:r>
      <w:r>
        <w:rPr>
          <w:rFonts w:ascii="宋体" w:hAnsi="宋体"/>
          <w:sz w:val="24"/>
        </w:rPr>
        <w:t>小时以内；</w:t>
      </w:r>
    </w:p>
    <w:p>
      <w:pPr>
        <w:spacing w:line="360" w:lineRule="auto"/>
        <w:ind w:firstLine="480" w:firstLineChars="200"/>
        <w:rPr>
          <w:rFonts w:ascii="宋体" w:hAnsi="宋体"/>
          <w:sz w:val="24"/>
        </w:rPr>
      </w:pPr>
      <w:r>
        <w:rPr>
          <w:rFonts w:hint="eastAsia" w:ascii="宋体" w:hAnsi="宋体"/>
          <w:sz w:val="24"/>
        </w:rPr>
        <w:t>3.9</w:t>
      </w:r>
      <w:r>
        <w:rPr>
          <w:rFonts w:ascii="宋体" w:hAnsi="宋体"/>
          <w:sz w:val="24"/>
        </w:rPr>
        <w:t>对于涉及非关键业务的故障，须在接到招标人报修电话后1小时内响应</w:t>
      </w:r>
      <w:r>
        <w:rPr>
          <w:rFonts w:hint="eastAsia" w:ascii="宋体" w:hAnsi="宋体"/>
          <w:sz w:val="24"/>
        </w:rPr>
        <w:t>,</w:t>
      </w:r>
      <w:r>
        <w:rPr>
          <w:rFonts w:ascii="宋体" w:hAnsi="宋体"/>
          <w:sz w:val="24"/>
        </w:rPr>
        <w:t>排除故障时间应在8小时以内；</w:t>
      </w:r>
    </w:p>
    <w:p>
      <w:pPr>
        <w:spacing w:line="360" w:lineRule="auto"/>
        <w:ind w:firstLine="480" w:firstLineChars="200"/>
        <w:rPr>
          <w:rFonts w:ascii="宋体" w:hAnsi="宋体"/>
          <w:sz w:val="24"/>
        </w:rPr>
      </w:pPr>
      <w:r>
        <w:rPr>
          <w:rFonts w:hint="eastAsia" w:ascii="宋体" w:hAnsi="宋体"/>
          <w:sz w:val="24"/>
        </w:rPr>
        <w:t>3.10</w:t>
      </w:r>
      <w:r>
        <w:rPr>
          <w:rFonts w:ascii="宋体" w:hAnsi="宋体"/>
          <w:sz w:val="24"/>
        </w:rPr>
        <w:t>对于重大问题，根据招标人需要能保证7×24小时不间断维护；</w:t>
      </w:r>
    </w:p>
    <w:p>
      <w:pPr>
        <w:spacing w:line="360" w:lineRule="auto"/>
        <w:ind w:firstLine="480" w:firstLineChars="200"/>
        <w:rPr>
          <w:rFonts w:ascii="宋体" w:hAnsi="宋体"/>
          <w:sz w:val="24"/>
        </w:rPr>
      </w:pPr>
      <w:r>
        <w:rPr>
          <w:rFonts w:hint="eastAsia" w:ascii="宋体" w:hAnsi="宋体"/>
          <w:sz w:val="24"/>
        </w:rPr>
        <w:t>3.11</w:t>
      </w:r>
      <w:r>
        <w:rPr>
          <w:rFonts w:ascii="宋体" w:hAnsi="宋体"/>
          <w:sz w:val="24"/>
        </w:rPr>
        <w:t>提供日常系统管理方面的电话咨询服务，解决或解答日常运作、安装等问题，对于电话无法解决的问题，应提供现场问题分析解决服务，快速判断并解决系统相关问题；</w:t>
      </w:r>
    </w:p>
    <w:p>
      <w:pPr>
        <w:spacing w:line="360" w:lineRule="auto"/>
        <w:ind w:firstLine="480" w:firstLineChars="200"/>
        <w:rPr>
          <w:rFonts w:ascii="宋体" w:hAnsi="宋体"/>
          <w:sz w:val="24"/>
        </w:rPr>
      </w:pPr>
      <w:r>
        <w:rPr>
          <w:rFonts w:hint="eastAsia" w:ascii="宋体" w:hAnsi="宋体"/>
          <w:sz w:val="24"/>
        </w:rPr>
        <w:t>3.12</w:t>
      </w:r>
      <w:r>
        <w:rPr>
          <w:rFonts w:ascii="宋体" w:hAnsi="宋体"/>
          <w:sz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p>
    <w:p>
      <w:pPr>
        <w:spacing w:line="360" w:lineRule="auto"/>
        <w:ind w:firstLine="480" w:firstLineChars="200"/>
        <w:rPr>
          <w:rFonts w:ascii="宋体" w:hAnsi="宋体"/>
          <w:sz w:val="24"/>
        </w:rPr>
      </w:pPr>
      <w:r>
        <w:rPr>
          <w:rFonts w:hint="eastAsia" w:ascii="宋体" w:hAnsi="宋体"/>
          <w:sz w:val="24"/>
        </w:rPr>
        <w:t>3.13</w:t>
      </w:r>
      <w:r>
        <w:rPr>
          <w:rFonts w:ascii="宋体" w:hAnsi="宋体"/>
          <w:sz w:val="24"/>
        </w:rPr>
        <w:t>提供安全技术和动态通告服务，重大安全信息随时通知服务，并根据客户的网络系统软硬件组成，及时提出适合用户环境的安全信息与安全建议；</w:t>
      </w:r>
    </w:p>
    <w:p>
      <w:pPr>
        <w:spacing w:line="360" w:lineRule="auto"/>
        <w:ind w:firstLine="480" w:firstLineChars="200"/>
        <w:rPr>
          <w:rFonts w:ascii="宋体" w:hAnsi="宋体"/>
          <w:sz w:val="24"/>
        </w:rPr>
      </w:pPr>
      <w:r>
        <w:rPr>
          <w:rFonts w:hint="eastAsia" w:ascii="宋体" w:hAnsi="宋体"/>
          <w:sz w:val="24"/>
        </w:rPr>
        <w:t>3.14</w:t>
      </w:r>
      <w:r>
        <w:rPr>
          <w:rFonts w:ascii="宋体" w:hAnsi="宋体"/>
          <w:sz w:val="24"/>
        </w:rPr>
        <w:t xml:space="preserve">提供系统相关环境的重新搭建服务； </w:t>
      </w:r>
    </w:p>
    <w:p>
      <w:pPr>
        <w:spacing w:line="360" w:lineRule="auto"/>
        <w:ind w:firstLine="480" w:firstLineChars="200"/>
        <w:rPr>
          <w:rFonts w:ascii="宋体" w:hAnsi="宋体"/>
          <w:sz w:val="24"/>
        </w:rPr>
      </w:pPr>
      <w:r>
        <w:rPr>
          <w:rFonts w:hint="eastAsia" w:ascii="宋体" w:hAnsi="宋体"/>
          <w:sz w:val="24"/>
        </w:rPr>
        <w:t>3.15</w:t>
      </w:r>
      <w:r>
        <w:rPr>
          <w:rFonts w:ascii="宋体" w:hAnsi="宋体"/>
          <w:sz w:val="24"/>
        </w:rPr>
        <w:t xml:space="preserve">提供系统迁移和调整过程中与系统相关的支持服务；根据实际需求进行硬件设备的物理移机服务，保障设备移机前后的正常运行； </w:t>
      </w:r>
    </w:p>
    <w:p>
      <w:pPr>
        <w:spacing w:line="360" w:lineRule="auto"/>
        <w:ind w:firstLine="480" w:firstLineChars="200"/>
        <w:rPr>
          <w:rFonts w:ascii="宋体" w:hAnsi="宋体"/>
          <w:sz w:val="24"/>
        </w:rPr>
      </w:pPr>
      <w:r>
        <w:rPr>
          <w:rFonts w:hint="eastAsia" w:ascii="宋体" w:hAnsi="宋体"/>
          <w:sz w:val="24"/>
        </w:rPr>
        <w:t>3.16如计算机软件授权许可绑定硬件，当需要将计算机软件迁离原宿主计算机，迁入新宿主计算机，软件原厂商免费提供计算机软件的授权许可；</w:t>
      </w:r>
    </w:p>
    <w:p>
      <w:pPr>
        <w:ind w:firstLine="420" w:firstLineChars="175"/>
        <w:rPr>
          <w:rFonts w:ascii="宋体" w:hAnsi="宋体"/>
        </w:rPr>
      </w:pPr>
      <w:r>
        <w:rPr>
          <w:rFonts w:hint="eastAsia" w:ascii="宋体" w:hAnsi="宋体"/>
          <w:sz w:val="24"/>
        </w:rPr>
        <w:t>3.17</w:t>
      </w:r>
      <w:r>
        <w:rPr>
          <w:rFonts w:ascii="宋体" w:hAnsi="宋体"/>
          <w:sz w:val="24"/>
        </w:rPr>
        <w:t>协助应用相关保障支持或专项提出的与系统相关的实施调整</w:t>
      </w:r>
      <w:r>
        <w:rPr>
          <w:rFonts w:hint="eastAsia" w:ascii="宋体" w:hAnsi="宋体"/>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C77EC"/>
    <w:multiLevelType w:val="multilevel"/>
    <w:tmpl w:val="1D6C77E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27BF"/>
    <w:rsid w:val="00011796"/>
    <w:rsid w:val="00014DA4"/>
    <w:rsid w:val="0004698F"/>
    <w:rsid w:val="0005131E"/>
    <w:rsid w:val="00092C94"/>
    <w:rsid w:val="000A43F3"/>
    <w:rsid w:val="000A4B94"/>
    <w:rsid w:val="000D5309"/>
    <w:rsid w:val="00113D52"/>
    <w:rsid w:val="00117361"/>
    <w:rsid w:val="00136AB5"/>
    <w:rsid w:val="0014078F"/>
    <w:rsid w:val="001558C1"/>
    <w:rsid w:val="0018621B"/>
    <w:rsid w:val="00190E5C"/>
    <w:rsid w:val="001A254A"/>
    <w:rsid w:val="001C444F"/>
    <w:rsid w:val="001E1F55"/>
    <w:rsid w:val="00202CC6"/>
    <w:rsid w:val="00215939"/>
    <w:rsid w:val="0022127C"/>
    <w:rsid w:val="00267572"/>
    <w:rsid w:val="002B5EF0"/>
    <w:rsid w:val="002D6CF1"/>
    <w:rsid w:val="002E275C"/>
    <w:rsid w:val="00301A69"/>
    <w:rsid w:val="00305134"/>
    <w:rsid w:val="00314A40"/>
    <w:rsid w:val="00347D7E"/>
    <w:rsid w:val="00350FAE"/>
    <w:rsid w:val="00365896"/>
    <w:rsid w:val="00374CEC"/>
    <w:rsid w:val="003A2DE8"/>
    <w:rsid w:val="003B47B2"/>
    <w:rsid w:val="003B7830"/>
    <w:rsid w:val="003C27BF"/>
    <w:rsid w:val="003D281C"/>
    <w:rsid w:val="00406207"/>
    <w:rsid w:val="0041054C"/>
    <w:rsid w:val="004147B1"/>
    <w:rsid w:val="0043053C"/>
    <w:rsid w:val="004559A5"/>
    <w:rsid w:val="00481BFB"/>
    <w:rsid w:val="0048324C"/>
    <w:rsid w:val="004B1FFC"/>
    <w:rsid w:val="004F0F23"/>
    <w:rsid w:val="005618DD"/>
    <w:rsid w:val="00575C38"/>
    <w:rsid w:val="005D7CA9"/>
    <w:rsid w:val="005F68E5"/>
    <w:rsid w:val="006028EB"/>
    <w:rsid w:val="00612AB0"/>
    <w:rsid w:val="006703F0"/>
    <w:rsid w:val="006868EC"/>
    <w:rsid w:val="006A1D33"/>
    <w:rsid w:val="006B7EC3"/>
    <w:rsid w:val="00770682"/>
    <w:rsid w:val="00783764"/>
    <w:rsid w:val="007B5769"/>
    <w:rsid w:val="007B6118"/>
    <w:rsid w:val="007F6396"/>
    <w:rsid w:val="00804994"/>
    <w:rsid w:val="00886606"/>
    <w:rsid w:val="0089460F"/>
    <w:rsid w:val="0089466F"/>
    <w:rsid w:val="008A4164"/>
    <w:rsid w:val="008A6BFF"/>
    <w:rsid w:val="00920103"/>
    <w:rsid w:val="00925DDA"/>
    <w:rsid w:val="009303DC"/>
    <w:rsid w:val="00946C82"/>
    <w:rsid w:val="009674CA"/>
    <w:rsid w:val="00973DC3"/>
    <w:rsid w:val="00977408"/>
    <w:rsid w:val="009A1496"/>
    <w:rsid w:val="009A3629"/>
    <w:rsid w:val="009B2D8C"/>
    <w:rsid w:val="009C70E8"/>
    <w:rsid w:val="009E1A43"/>
    <w:rsid w:val="009E30BE"/>
    <w:rsid w:val="00A11824"/>
    <w:rsid w:val="00A371C7"/>
    <w:rsid w:val="00A55F8B"/>
    <w:rsid w:val="00A66D9D"/>
    <w:rsid w:val="00A6757E"/>
    <w:rsid w:val="00A74B82"/>
    <w:rsid w:val="00A85B28"/>
    <w:rsid w:val="00A8749F"/>
    <w:rsid w:val="00AB44EC"/>
    <w:rsid w:val="00AC2D31"/>
    <w:rsid w:val="00AC39FE"/>
    <w:rsid w:val="00AD7034"/>
    <w:rsid w:val="00AE28E3"/>
    <w:rsid w:val="00B02A5A"/>
    <w:rsid w:val="00B23669"/>
    <w:rsid w:val="00B27CDB"/>
    <w:rsid w:val="00B33DD7"/>
    <w:rsid w:val="00B40C18"/>
    <w:rsid w:val="00B54BE2"/>
    <w:rsid w:val="00B740B2"/>
    <w:rsid w:val="00B75F02"/>
    <w:rsid w:val="00B829D0"/>
    <w:rsid w:val="00BA76E9"/>
    <w:rsid w:val="00BB2F39"/>
    <w:rsid w:val="00BB745F"/>
    <w:rsid w:val="00C03852"/>
    <w:rsid w:val="00C14C0B"/>
    <w:rsid w:val="00C21C3D"/>
    <w:rsid w:val="00C239F3"/>
    <w:rsid w:val="00C24954"/>
    <w:rsid w:val="00C41A45"/>
    <w:rsid w:val="00C44252"/>
    <w:rsid w:val="00C55559"/>
    <w:rsid w:val="00C97993"/>
    <w:rsid w:val="00CA610E"/>
    <w:rsid w:val="00CF547F"/>
    <w:rsid w:val="00D06E75"/>
    <w:rsid w:val="00D07160"/>
    <w:rsid w:val="00D072E9"/>
    <w:rsid w:val="00D124B1"/>
    <w:rsid w:val="00D13B7A"/>
    <w:rsid w:val="00D251D1"/>
    <w:rsid w:val="00D7792E"/>
    <w:rsid w:val="00D80597"/>
    <w:rsid w:val="00DB77EE"/>
    <w:rsid w:val="00DC08DE"/>
    <w:rsid w:val="00DC5EB7"/>
    <w:rsid w:val="00DF1538"/>
    <w:rsid w:val="00DF243B"/>
    <w:rsid w:val="00DF7AF9"/>
    <w:rsid w:val="00E0043D"/>
    <w:rsid w:val="00E345DE"/>
    <w:rsid w:val="00E37B5C"/>
    <w:rsid w:val="00E45E89"/>
    <w:rsid w:val="00E50992"/>
    <w:rsid w:val="00E6704F"/>
    <w:rsid w:val="00E72BF7"/>
    <w:rsid w:val="00E74747"/>
    <w:rsid w:val="00E9018F"/>
    <w:rsid w:val="00EA218E"/>
    <w:rsid w:val="00EA7D99"/>
    <w:rsid w:val="00ED0FB6"/>
    <w:rsid w:val="00EE6550"/>
    <w:rsid w:val="00F04421"/>
    <w:rsid w:val="00F32431"/>
    <w:rsid w:val="00F356FE"/>
    <w:rsid w:val="00F359D7"/>
    <w:rsid w:val="00F73FFE"/>
    <w:rsid w:val="00F90445"/>
    <w:rsid w:val="00F95849"/>
    <w:rsid w:val="00FA3977"/>
    <w:rsid w:val="00FA4570"/>
    <w:rsid w:val="00FB5B0E"/>
    <w:rsid w:val="00FF0FE6"/>
    <w:rsid w:val="00FF624D"/>
    <w:rsid w:val="07B029DF"/>
    <w:rsid w:val="081C4838"/>
    <w:rsid w:val="0A8554B4"/>
    <w:rsid w:val="1FFF3E90"/>
    <w:rsid w:val="266A2026"/>
    <w:rsid w:val="26D94A70"/>
    <w:rsid w:val="272F3B86"/>
    <w:rsid w:val="2C1E47C7"/>
    <w:rsid w:val="33B4761A"/>
    <w:rsid w:val="35995BAA"/>
    <w:rsid w:val="37442671"/>
    <w:rsid w:val="384B50B2"/>
    <w:rsid w:val="3B966DBD"/>
    <w:rsid w:val="40147C53"/>
    <w:rsid w:val="41240476"/>
    <w:rsid w:val="4869574F"/>
    <w:rsid w:val="49346096"/>
    <w:rsid w:val="4CD86558"/>
    <w:rsid w:val="53323B7E"/>
    <w:rsid w:val="54C60F45"/>
    <w:rsid w:val="5DAD09DD"/>
    <w:rsid w:val="635842B4"/>
    <w:rsid w:val="63A2474C"/>
    <w:rsid w:val="66FE39EF"/>
    <w:rsid w:val="67F67194"/>
    <w:rsid w:val="67FE07CD"/>
    <w:rsid w:val="68A53705"/>
    <w:rsid w:val="69352894"/>
    <w:rsid w:val="6B2D6FE3"/>
    <w:rsid w:val="730C4FFC"/>
    <w:rsid w:val="73346C9D"/>
    <w:rsid w:val="7618735A"/>
    <w:rsid w:val="7B3301EB"/>
    <w:rsid w:val="7CD82B8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8"/>
    <w:unhideWhenUsed/>
    <w:qFormat/>
    <w:uiPriority w:val="99"/>
    <w:rPr>
      <w:b/>
      <w:bCs/>
    </w:rPr>
  </w:style>
  <w:style w:type="paragraph" w:styleId="3">
    <w:name w:val="annotation text"/>
    <w:basedOn w:val="1"/>
    <w:link w:val="17"/>
    <w:unhideWhenUsed/>
    <w:qFormat/>
    <w:uiPriority w:val="99"/>
    <w:pPr>
      <w:jc w:val="left"/>
    </w:pPr>
  </w:style>
  <w:style w:type="paragraph" w:styleId="4">
    <w:name w:val="Plain Text"/>
    <w:basedOn w:val="1"/>
    <w:link w:val="11"/>
    <w:uiPriority w:val="0"/>
    <w:rPr>
      <w:rFonts w:ascii="宋体" w:hAnsi="Courier New" w:cs="Courier New"/>
      <w:szCs w:val="21"/>
    </w:rPr>
  </w:style>
  <w:style w:type="paragraph" w:styleId="5">
    <w:name w:val="Balloon Text"/>
    <w:basedOn w:val="1"/>
    <w:link w:val="19"/>
    <w:unhideWhenUsed/>
    <w:qFormat/>
    <w:uiPriority w:val="99"/>
    <w:rPr>
      <w:sz w:val="18"/>
      <w:szCs w:val="18"/>
    </w:rPr>
  </w:style>
  <w:style w:type="paragraph" w:styleId="6">
    <w:name w:val="footer"/>
    <w:basedOn w:val="1"/>
    <w:link w:val="15"/>
    <w:unhideWhenUsed/>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nhideWhenUsed/>
    <w:uiPriority w:val="99"/>
    <w:rPr>
      <w:sz w:val="21"/>
      <w:szCs w:val="21"/>
    </w:rPr>
  </w:style>
  <w:style w:type="character" w:customStyle="1" w:styleId="11">
    <w:name w:val="纯文本 Char"/>
    <w:basedOn w:val="8"/>
    <w:link w:val="4"/>
    <w:uiPriority w:val="0"/>
    <w:rPr>
      <w:rFonts w:ascii="宋体" w:hAnsi="Courier New" w:eastAsia="宋体" w:cs="Courier New"/>
      <w:szCs w:val="21"/>
    </w:rPr>
  </w:style>
  <w:style w:type="paragraph" w:customStyle="1" w:styleId="12">
    <w:name w:val="列出段落1"/>
    <w:basedOn w:val="1"/>
    <w:qFormat/>
    <w:uiPriority w:val="0"/>
    <w:pPr>
      <w:ind w:firstLine="420" w:firstLineChars="200"/>
    </w:pPr>
    <w:rPr>
      <w:rFonts w:ascii="Calibri" w:hAnsi="Calibri"/>
      <w:szCs w:val="22"/>
    </w:rPr>
  </w:style>
  <w:style w:type="paragraph" w:customStyle="1" w:styleId="13">
    <w:name w:val="普通 (Web)"/>
    <w:qFormat/>
    <w:uiPriority w:val="0"/>
    <w:pPr>
      <w:spacing w:before="100" w:after="100"/>
    </w:pPr>
    <w:rPr>
      <w:rFonts w:ascii="宋体" w:hAnsi="Times New Roman" w:eastAsia="宋体" w:cs="Times New Roman"/>
      <w:sz w:val="24"/>
      <w:lang w:val="en-US" w:eastAsia="zh-CN" w:bidi="ar-SA"/>
    </w:rPr>
  </w:style>
  <w:style w:type="character" w:customStyle="1" w:styleId="14">
    <w:name w:val="页眉 Char"/>
    <w:basedOn w:val="8"/>
    <w:link w:val="7"/>
    <w:qFormat/>
    <w:uiPriority w:val="99"/>
    <w:rPr>
      <w:rFonts w:ascii="Times New Roman" w:hAnsi="Times New Roman" w:eastAsia="宋体" w:cs="Times New Roman"/>
      <w:sz w:val="18"/>
      <w:szCs w:val="18"/>
    </w:rPr>
  </w:style>
  <w:style w:type="character" w:customStyle="1" w:styleId="15">
    <w:name w:val="页脚 Char"/>
    <w:basedOn w:val="8"/>
    <w:link w:val="6"/>
    <w:qFormat/>
    <w:uiPriority w:val="99"/>
    <w:rPr>
      <w:rFonts w:ascii="Times New Roman" w:hAnsi="Times New Roman" w:eastAsia="宋体" w:cs="Times New Roman"/>
      <w:sz w:val="18"/>
      <w:szCs w:val="18"/>
    </w:rPr>
  </w:style>
  <w:style w:type="paragraph" w:customStyle="1" w:styleId="16">
    <w:name w:val="List Paragraph"/>
    <w:basedOn w:val="1"/>
    <w:unhideWhenUsed/>
    <w:uiPriority w:val="99"/>
    <w:pPr>
      <w:ind w:firstLine="420" w:firstLineChars="200"/>
    </w:pPr>
  </w:style>
  <w:style w:type="character" w:customStyle="1" w:styleId="17">
    <w:name w:val="批注文字 Char"/>
    <w:basedOn w:val="8"/>
    <w:link w:val="3"/>
    <w:semiHidden/>
    <w:uiPriority w:val="99"/>
    <w:rPr>
      <w:rFonts w:ascii="Times New Roman" w:hAnsi="Times New Roman" w:eastAsia="宋体" w:cs="Times New Roman"/>
      <w:kern w:val="2"/>
      <w:sz w:val="21"/>
      <w:szCs w:val="24"/>
    </w:rPr>
  </w:style>
  <w:style w:type="character" w:customStyle="1" w:styleId="18">
    <w:name w:val="批注主题 Char"/>
    <w:basedOn w:val="17"/>
    <w:link w:val="2"/>
    <w:semiHidden/>
    <w:uiPriority w:val="99"/>
    <w:rPr>
      <w:rFonts w:ascii="Times New Roman" w:hAnsi="Times New Roman" w:eastAsia="宋体" w:cs="Times New Roman"/>
      <w:b/>
      <w:bCs/>
      <w:kern w:val="2"/>
      <w:sz w:val="21"/>
      <w:szCs w:val="24"/>
    </w:rPr>
  </w:style>
  <w:style w:type="character" w:customStyle="1" w:styleId="19">
    <w:name w:val="批注框文本 Char"/>
    <w:basedOn w:val="8"/>
    <w:link w:val="5"/>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1066</Words>
  <Characters>6081</Characters>
  <Lines>50</Lines>
  <Paragraphs>14</Paragraphs>
  <TotalTime>0</TotalTime>
  <ScaleCrop>false</ScaleCrop>
  <LinksUpToDate>false</LinksUpToDate>
  <CharactersWithSpaces>7133</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2016-10-17T09:18:00Z</dcterms:created>
  <dc:creator>zl</dc:creator>
  <cp:lastModifiedBy>中国神华国际工程有限公司:马鹏军</cp:lastModifiedBy>
  <dcterms:modified xsi:type="dcterms:W3CDTF">2017-06-30T02:07:33Z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